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0.2T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卧式电加热蒸汽锅炉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"_一、配质清单"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一、配质清单</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_Toc20060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"_二、技术参数："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二、技术参数：</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_Toc20134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3</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"_三、公司简介："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三、公司简介：</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_Toc15979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4</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"_四、公司资质与产品展示"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四、公司资质与产品展示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_Toc9567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"_五、蒸汽锅炉简介及特点"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五、 蒸汽锅炉简介及特点</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_Toc29994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"_1、系统概述及范围" </w:instrText>
          </w:r>
          <w:r>
            <w:rPr>
              <w:rFonts w:hint="eastAsia" w:ascii="黑体" w:hAnsi="黑体" w:eastAsia="黑体" w:cs="黑体"/>
              <w:b/>
              <w:bCs/>
              <w:color w:val="auto"/>
              <w:sz w:val="28"/>
              <w:szCs w:val="36"/>
              <w:u w:val="none"/>
              <w:lang w:val="en-US" w:eastAsia="zh-CN"/>
            </w:rPr>
            <w:fldChar w:fldCharType="separate"/>
          </w:r>
          <w:r>
            <w:rPr>
              <w:rStyle w:val="14"/>
              <w:rFonts w:hint="eastAsia" w:ascii="黑体" w:hAnsi="黑体" w:eastAsia="黑体" w:cs="黑体"/>
              <w:b/>
              <w:bCs/>
              <w:sz w:val="28"/>
              <w:szCs w:val="36"/>
              <w:lang w:val="en-US" w:eastAsia="zh-CN"/>
            </w:rPr>
            <w:t>1</w:t>
          </w:r>
          <w:r>
            <w:rPr>
              <w:rStyle w:val="14"/>
              <w:rFonts w:hint="eastAsia" w:ascii="黑体" w:hAnsi="黑体" w:eastAsia="黑体" w:cs="黑体"/>
              <w:b/>
              <w:bCs/>
              <w:sz w:val="28"/>
              <w:szCs w:val="36"/>
            </w:rPr>
            <w:t>、系统概述及范围</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_Toc16772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"_6、自动保护装置"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2</w:t>
          </w:r>
          <w:r>
            <w:rPr>
              <w:rStyle w:val="14"/>
              <w:rFonts w:hint="eastAsia" w:ascii="黑体" w:hAnsi="黑体" w:eastAsia="黑体" w:cs="黑体"/>
              <w:b/>
              <w:bCs/>
              <w:sz w:val="28"/>
              <w:szCs w:val="36"/>
              <w:lang w:val="en-US" w:eastAsia="zh-CN"/>
            </w:rPr>
            <w:t>、</w:t>
          </w:r>
          <w:r>
            <w:rPr>
              <w:rStyle w:val="14"/>
              <w:rFonts w:hint="eastAsia" w:ascii="黑体" w:hAnsi="黑体" w:eastAsia="黑体" w:cs="黑体"/>
              <w:b/>
              <w:bCs/>
              <w:sz w:val="28"/>
              <w:szCs w:val="36"/>
            </w:rPr>
            <w:t>自动保护装置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_Toc7849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lang w:val="en-US" w:eastAsia="zh-CN"/>
            </w:rPr>
            <w:fldChar w:fldCharType="begin"/>
          </w:r>
          <w:r>
            <w:rPr>
              <w:rFonts w:hint="eastAsia" w:ascii="黑体" w:hAnsi="黑体" w:eastAsia="黑体" w:cs="黑体"/>
              <w:b/>
              <w:bCs/>
              <w:color w:val="auto"/>
              <w:sz w:val="28"/>
              <w:szCs w:val="36"/>
              <w:u w:val="none"/>
              <w:lang w:val="en-US" w:eastAsia="zh-CN"/>
            </w:rPr>
            <w:instrText xml:space="preserve"> HYPERLINK \l "_7、主要设计依据" </w:instrText>
          </w:r>
          <w:r>
            <w:rPr>
              <w:rFonts w:hint="eastAsia" w:ascii="黑体" w:hAnsi="黑体" w:eastAsia="黑体" w:cs="黑体"/>
              <w:b/>
              <w:bCs/>
              <w:color w:val="auto"/>
              <w:sz w:val="28"/>
              <w:szCs w:val="36"/>
              <w:u w:val="none"/>
              <w:lang w:val="en-US" w:eastAsia="zh-CN"/>
            </w:rPr>
            <w:fldChar w:fldCharType="separate"/>
          </w:r>
          <w:r>
            <w:rPr>
              <w:rFonts w:hint="eastAsia" w:ascii="黑体" w:hAnsi="黑体" w:eastAsia="黑体" w:cs="黑体"/>
              <w:b/>
              <w:bCs/>
              <w:color w:val="auto"/>
              <w:sz w:val="28"/>
              <w:szCs w:val="36"/>
              <w:u w:val="none"/>
              <w:lang w:val="en-US" w:eastAsia="zh-CN"/>
            </w:rPr>
            <w:t>3</w:t>
          </w:r>
          <w:r>
            <w:rPr>
              <w:rStyle w:val="14"/>
              <w:rFonts w:hint="eastAsia" w:ascii="黑体" w:hAnsi="黑体" w:eastAsia="黑体" w:cs="黑体"/>
              <w:b/>
              <w:bCs/>
              <w:sz w:val="28"/>
              <w:szCs w:val="36"/>
            </w:rPr>
            <w:t>、主要设计依据</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_Toc14886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16</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lang w:val="en-US" w:eastAsia="zh-CN"/>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"_六、客户来访"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六、客户来访</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_Toc1742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17</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"_七、设备支持"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七、设备支持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_Toc19245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18</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"_八、安全、质量保证措施"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八、安全、质量保证措施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_Toc10238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"_1、安全保证措施"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1、安全保证措施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_Toc22766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"_2、质量保证措施"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2、质量保证措施</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_Toc24681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19</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"_九、售后服务承诺"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九、售后服务承诺</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_Toc27077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"_1、服务体系"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1、服务体系</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_Toc25148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"_2、售前服务"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2、售前服务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_Toc8038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"_3、售后服务"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3、售后服务</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_Toc1965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"_4、规范化的服务标准"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4、规范化的服务标准</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_Toc30005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"_5、星级服务1、2、3、4模式"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5、星级服务1、2、3、4模式</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_Toc26737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21</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"_6、技术服务与联络"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6、技术服务与联络</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_Toc3701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"_7、组织保证"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7、组织保证</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_Toc17331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22</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9"/>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ind w:left="0" w:leftChars="0" w:firstLine="0" w:firstLineChars="0"/>
            <w:textAlignment w:val="auto"/>
            <w:rPr>
              <w:rFonts w:hint="eastAsia" w:ascii="黑体" w:hAnsi="黑体" w:eastAsia="黑体" w:cs="黑体"/>
              <w:b/>
              <w:bCs/>
              <w:sz w:val="28"/>
              <w:szCs w:val="36"/>
            </w:rPr>
          </w:pPr>
          <w:r>
            <w:rPr>
              <w:rFonts w:hint="eastAsia" w:ascii="黑体" w:hAnsi="黑体" w:eastAsia="黑体" w:cs="黑体"/>
              <w:b/>
              <w:bCs/>
              <w:color w:val="auto"/>
              <w:sz w:val="28"/>
              <w:szCs w:val="36"/>
              <w:u w:val="none"/>
            </w:rPr>
            <w:fldChar w:fldCharType="begin"/>
          </w:r>
          <w:r>
            <w:rPr>
              <w:rFonts w:hint="eastAsia" w:ascii="黑体" w:hAnsi="黑体" w:eastAsia="黑体" w:cs="黑体"/>
              <w:b/>
              <w:bCs/>
              <w:color w:val="auto"/>
              <w:sz w:val="28"/>
              <w:szCs w:val="36"/>
              <w:u w:val="none"/>
            </w:rPr>
            <w:instrText xml:space="preserve"> HYPERLINK \l "_十、厂区环境" </w:instrText>
          </w:r>
          <w:r>
            <w:rPr>
              <w:rFonts w:hint="eastAsia" w:ascii="黑体" w:hAnsi="黑体" w:eastAsia="黑体" w:cs="黑体"/>
              <w:b/>
              <w:bCs/>
              <w:color w:val="auto"/>
              <w:sz w:val="28"/>
              <w:szCs w:val="36"/>
              <w:u w:val="none"/>
            </w:rPr>
            <w:fldChar w:fldCharType="separate"/>
          </w:r>
          <w:r>
            <w:rPr>
              <w:rStyle w:val="14"/>
              <w:rFonts w:hint="eastAsia" w:ascii="黑体" w:hAnsi="黑体" w:eastAsia="黑体" w:cs="黑体"/>
              <w:b/>
              <w:bCs/>
              <w:sz w:val="28"/>
              <w:szCs w:val="36"/>
            </w:rPr>
            <w:t>十、厂区环境</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_Toc31432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23</w:t>
          </w:r>
          <w:r>
            <w:rPr>
              <w:rStyle w:val="14"/>
              <w:rFonts w:hint="eastAsia" w:ascii="黑体" w:hAnsi="黑体" w:eastAsia="黑体" w:cs="黑体"/>
              <w:b/>
              <w:bCs/>
              <w:sz w:val="28"/>
              <w:szCs w:val="36"/>
            </w:rPr>
            <w:fldChar w:fldCharType="end"/>
          </w:r>
          <w:r>
            <w:rPr>
              <w:rFonts w:hint="eastAsia" w:ascii="黑体" w:hAnsi="黑体" w:eastAsia="黑体" w:cs="黑体"/>
              <w:b/>
              <w:bCs/>
              <w:color w:val="auto"/>
              <w:sz w:val="28"/>
              <w:szCs w:val="36"/>
              <w:u w:val="none"/>
            </w:rPr>
            <w:fldChar w:fldCharType="end"/>
          </w:r>
        </w:p>
        <w:p>
          <w:pPr>
            <w:pStyle w:val="8"/>
            <w:keepNext w:val="0"/>
            <w:keepLines w:val="0"/>
            <w:pageBreakBefore w:val="0"/>
            <w:widowControl w:val="0"/>
            <w:tabs>
              <w:tab w:val="right" w:leader="dot" w:pos="9746"/>
            </w:tabs>
            <w:kinsoku/>
            <w:wordWrap/>
            <w:overflowPunct/>
            <w:topLinePunct w:val="0"/>
            <w:autoSpaceDE/>
            <w:autoSpaceDN/>
            <w:bidi w:val="0"/>
            <w:adjustRightInd/>
            <w:snapToGrid w:val="0"/>
            <w:spacing w:line="360" w:lineRule="auto"/>
            <w:textAlignment w:val="auto"/>
            <w:rPr>
              <w:rFonts w:hint="eastAsia" w:ascii="黑体" w:hAnsi="黑体" w:eastAsia="黑体" w:cs="黑体"/>
              <w:sz w:val="24"/>
              <w:szCs w:val="32"/>
            </w:rPr>
          </w:pPr>
          <w:r>
            <w:rPr>
              <w:rFonts w:hint="eastAsia" w:ascii="黑体" w:hAnsi="黑体" w:eastAsia="黑体" w:cs="黑体"/>
              <w:b/>
              <w:bCs/>
              <w:color w:val="auto"/>
              <w:kern w:val="2"/>
              <w:sz w:val="28"/>
              <w:szCs w:val="36"/>
              <w:u w:val="none"/>
              <w:lang w:val="en-US" w:eastAsia="zh-CN" w:bidi="ar-SA"/>
            </w:rPr>
            <w:fldChar w:fldCharType="begin"/>
          </w:r>
          <w:r>
            <w:rPr>
              <w:rFonts w:hint="eastAsia" w:ascii="黑体" w:hAnsi="黑体" w:eastAsia="黑体" w:cs="黑体"/>
              <w:b/>
              <w:bCs/>
              <w:color w:val="auto"/>
              <w:kern w:val="2"/>
              <w:sz w:val="28"/>
              <w:szCs w:val="36"/>
              <w:u w:val="none"/>
              <w:lang w:val="en-US" w:eastAsia="zh-CN" w:bidi="ar-SA"/>
            </w:rPr>
            <w:instrText xml:space="preserve"> HYPERLINK \l "_十一、公司寄语" </w:instrText>
          </w:r>
          <w:r>
            <w:rPr>
              <w:rFonts w:hint="eastAsia" w:ascii="黑体" w:hAnsi="黑体" w:eastAsia="黑体" w:cs="黑体"/>
              <w:b/>
              <w:bCs/>
              <w:color w:val="auto"/>
              <w:kern w:val="2"/>
              <w:sz w:val="28"/>
              <w:szCs w:val="36"/>
              <w:u w:val="none"/>
              <w:lang w:val="en-US" w:eastAsia="zh-CN" w:bidi="ar-SA"/>
            </w:rPr>
            <w:fldChar w:fldCharType="separate"/>
          </w:r>
          <w:r>
            <w:rPr>
              <w:rStyle w:val="14"/>
              <w:rFonts w:hint="eastAsia" w:ascii="黑体" w:hAnsi="黑体" w:eastAsia="黑体" w:cs="黑体"/>
              <w:b/>
              <w:bCs/>
              <w:kern w:val="2"/>
              <w:sz w:val="28"/>
              <w:szCs w:val="36"/>
              <w:lang w:val="en-US" w:eastAsia="zh-CN" w:bidi="ar-SA"/>
            </w:rPr>
            <w:t>十一、公司寄语</w:t>
          </w:r>
          <w:r>
            <w:rPr>
              <w:rStyle w:val="14"/>
              <w:rFonts w:hint="eastAsia" w:ascii="黑体" w:hAnsi="黑体" w:eastAsia="黑体" w:cs="黑体"/>
              <w:b/>
              <w:bCs/>
              <w:sz w:val="28"/>
              <w:szCs w:val="36"/>
            </w:rPr>
            <w:tab/>
          </w:r>
          <w:r>
            <w:rPr>
              <w:rStyle w:val="14"/>
              <w:rFonts w:hint="eastAsia" w:ascii="黑体" w:hAnsi="黑体" w:eastAsia="黑体" w:cs="黑体"/>
              <w:b/>
              <w:bCs/>
              <w:sz w:val="28"/>
              <w:szCs w:val="36"/>
            </w:rPr>
            <w:fldChar w:fldCharType="begin"/>
          </w:r>
          <w:r>
            <w:rPr>
              <w:rStyle w:val="14"/>
              <w:rFonts w:hint="eastAsia" w:ascii="黑体" w:hAnsi="黑体" w:eastAsia="黑体" w:cs="黑体"/>
              <w:b/>
              <w:bCs/>
              <w:sz w:val="28"/>
              <w:szCs w:val="36"/>
            </w:rPr>
            <w:instrText xml:space="preserve"> PAGEREF _Toc11023 \h </w:instrText>
          </w:r>
          <w:r>
            <w:rPr>
              <w:rStyle w:val="14"/>
              <w:rFonts w:hint="eastAsia" w:ascii="黑体" w:hAnsi="黑体" w:eastAsia="黑体" w:cs="黑体"/>
              <w:b/>
              <w:bCs/>
              <w:sz w:val="28"/>
              <w:szCs w:val="36"/>
            </w:rPr>
            <w:fldChar w:fldCharType="separate"/>
          </w:r>
          <w:r>
            <w:rPr>
              <w:rStyle w:val="14"/>
              <w:rFonts w:hint="eastAsia" w:ascii="黑体" w:hAnsi="黑体" w:eastAsia="黑体" w:cs="黑体"/>
              <w:b/>
              <w:bCs/>
              <w:sz w:val="28"/>
              <w:szCs w:val="36"/>
            </w:rPr>
            <w:t>26</w:t>
          </w:r>
          <w:r>
            <w:rPr>
              <w:rStyle w:val="14"/>
              <w:rFonts w:hint="eastAsia" w:ascii="黑体" w:hAnsi="黑体" w:eastAsia="黑体" w:cs="黑体"/>
              <w:b/>
              <w:bCs/>
              <w:sz w:val="28"/>
              <w:szCs w:val="36"/>
            </w:rPr>
            <w:fldChar w:fldCharType="end"/>
          </w:r>
          <w:r>
            <w:rPr>
              <w:rFonts w:hint="eastAsia" w:ascii="黑体" w:hAnsi="黑体" w:eastAsia="黑体" w:cs="黑体"/>
              <w:b/>
              <w:bCs/>
              <w:color w:val="auto"/>
              <w:kern w:val="2"/>
              <w:sz w:val="28"/>
              <w:szCs w:val="36"/>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hint="eastAsia" w:ascii="宋体" w:hAnsi="宋体"/>
          <w:b/>
          <w:bCs/>
          <w:sz w:val="32"/>
          <w:szCs w:val="32"/>
        </w:rPr>
      </w:pPr>
      <w:r>
        <w:rPr>
          <w:rFonts w:hint="eastAsia" w:ascii="宋体" w:hAnsi="宋体"/>
          <w:b/>
          <w:bCs/>
          <w:sz w:val="32"/>
          <w:szCs w:val="32"/>
          <w:lang w:val="en-US" w:eastAsia="zh-CN"/>
        </w:rPr>
        <w:t>WDR0.2-1.25-D</w:t>
      </w:r>
      <w:r>
        <w:rPr>
          <w:rFonts w:hint="eastAsia" w:ascii="宋体" w:hAnsi="宋体"/>
          <w:b/>
          <w:bCs/>
          <w:sz w:val="32"/>
          <w:szCs w:val="32"/>
        </w:rPr>
        <w:t>卧式</w:t>
      </w:r>
      <w:r>
        <w:rPr>
          <w:rFonts w:hint="eastAsia" w:ascii="宋体" w:hAnsi="宋体"/>
          <w:b/>
          <w:bCs/>
          <w:sz w:val="32"/>
          <w:szCs w:val="32"/>
          <w:lang w:val="en-US" w:eastAsia="zh-CN"/>
        </w:rPr>
        <w:t>电加热</w:t>
      </w:r>
      <w:r>
        <w:rPr>
          <w:rFonts w:hint="eastAsia" w:ascii="宋体" w:hAnsi="宋体"/>
          <w:b/>
          <w:bCs/>
          <w:sz w:val="32"/>
          <w:szCs w:val="32"/>
        </w:rPr>
        <w:t>蒸汽锅炉标准配置单</w:t>
      </w:r>
    </w:p>
    <w:tbl>
      <w:tblPr>
        <w:tblStyle w:val="11"/>
        <w:tblW w:w="10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173"/>
        <w:gridCol w:w="3587"/>
        <w:gridCol w:w="719"/>
        <w:gridCol w:w="737"/>
        <w:gridCol w:w="1401"/>
        <w:gridCol w:w="15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b/>
                <w:bCs/>
                <w:sz w:val="24"/>
                <w:szCs w:val="24"/>
                <w:highlight w:val="none"/>
              </w:rPr>
            </w:pPr>
            <w:bookmarkStart w:id="5" w:name="_Toc18567"/>
            <w:bookmarkStart w:id="6" w:name="_Toc20134"/>
            <w:r>
              <w:rPr>
                <w:rFonts w:hint="eastAsia" w:ascii="宋体" w:hAnsi="宋体"/>
                <w:b/>
                <w:bCs/>
                <w:sz w:val="24"/>
                <w:szCs w:val="24"/>
                <w:highlight w:val="none"/>
              </w:rPr>
              <w:t>序号</w:t>
            </w:r>
          </w:p>
        </w:tc>
        <w:tc>
          <w:tcPr>
            <w:tcW w:w="217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587"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1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3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40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587"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WDR0.2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w:t>
            </w:r>
            <w:r>
              <w:rPr>
                <w:rFonts w:hint="eastAsia" w:ascii="宋体" w:hAnsi="宋体"/>
                <w:sz w:val="24"/>
                <w:szCs w:val="24"/>
                <w:highlight w:val="none"/>
                <w:lang w:val="en-US" w:eastAsia="zh-CN"/>
              </w:rPr>
              <w:t>D   0.2t/h  1.25Mpa</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73"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电阻导热加热管</w:t>
            </w:r>
          </w:p>
        </w:tc>
        <w:tc>
          <w:tcPr>
            <w:tcW w:w="3587"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z w:val="21"/>
                <w:szCs w:val="21"/>
                <w:highlight w:val="none"/>
                <w:lang w:val="en-US" w:eastAsia="zh-CN"/>
              </w:rPr>
              <w:t>144KW/组合式</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lang w:eastAsia="zh-CN"/>
              </w:rPr>
              <w:t>套</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1"/>
                <w:szCs w:val="21"/>
                <w:highlight w:val="none"/>
              </w:rPr>
              <w:t>1</w:t>
            </w:r>
          </w:p>
        </w:tc>
        <w:tc>
          <w:tcPr>
            <w:tcW w:w="1401"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1"/>
                <w:szCs w:val="21"/>
                <w:highlight w:val="none"/>
                <w:lang w:eastAsia="zh-CN"/>
              </w:rPr>
              <w:t>江苏</w:t>
            </w:r>
          </w:p>
        </w:tc>
        <w:tc>
          <w:tcPr>
            <w:tcW w:w="1587"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73"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587"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HXDK-0.2T</w:t>
            </w:r>
          </w:p>
        </w:tc>
        <w:tc>
          <w:tcPr>
            <w:tcW w:w="719"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7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587"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1"/>
                <w:szCs w:val="21"/>
                <w:highlight w:val="none"/>
                <w:lang w:val="en-US" w:eastAsia="zh-CN"/>
              </w:rPr>
              <w:t>1.5</w:t>
            </w:r>
            <w:r>
              <w:rPr>
                <w:rFonts w:hint="eastAsia" w:ascii="宋体" w:hAnsi="宋体"/>
                <w:sz w:val="21"/>
                <w:szCs w:val="21"/>
                <w:highlight w:val="none"/>
              </w:rPr>
              <w:t>KW</w:t>
            </w:r>
          </w:p>
        </w:tc>
        <w:tc>
          <w:tcPr>
            <w:tcW w:w="719"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3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利欧集团</w:t>
            </w:r>
          </w:p>
        </w:tc>
        <w:tc>
          <w:tcPr>
            <w:tcW w:w="158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分气缸</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Φ159</w:t>
            </w:r>
          </w:p>
        </w:tc>
        <w:tc>
          <w:tcPr>
            <w:tcW w:w="719"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1</w:t>
            </w:r>
          </w:p>
        </w:tc>
        <w:tc>
          <w:tcPr>
            <w:tcW w:w="1401"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73"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水处理</w:t>
            </w:r>
          </w:p>
        </w:tc>
        <w:tc>
          <w:tcPr>
            <w:tcW w:w="3587" w:type="dxa"/>
            <w:noWrap w:val="0"/>
            <w:vAlign w:val="center"/>
          </w:tcPr>
          <w:p>
            <w:pPr>
              <w:spacing w:line="300" w:lineRule="exact"/>
              <w:jc w:val="center"/>
              <w:rPr>
                <w:rFonts w:hint="default" w:ascii="宋体" w:hAnsi="宋体" w:eastAsia="宋体" w:cs="Times New Roman"/>
                <w:kern w:val="2"/>
                <w:sz w:val="24"/>
                <w:szCs w:val="24"/>
                <w:highlight w:val="none"/>
                <w:lang w:val="en-US" w:eastAsia="zh-CN" w:bidi="ar-SA"/>
              </w:rPr>
            </w:pPr>
            <w:r>
              <w:rPr>
                <w:rFonts w:hint="eastAsia" w:ascii="宋体" w:hAnsi="宋体"/>
                <w:sz w:val="24"/>
                <w:szCs w:val="24"/>
                <w:highlight w:val="none"/>
              </w:rPr>
              <w:t>SCL-</w:t>
            </w:r>
            <w:r>
              <w:rPr>
                <w:rFonts w:hint="eastAsia" w:ascii="宋体" w:hAnsi="宋体"/>
                <w:sz w:val="24"/>
                <w:szCs w:val="24"/>
                <w:highlight w:val="none"/>
                <w:lang w:val="en-US" w:eastAsia="zh-CN"/>
              </w:rPr>
              <w:t>0.5T/h</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宋体" w:cs="Times New Roman"/>
                <w:kern w:val="2"/>
                <w:sz w:val="24"/>
                <w:szCs w:val="24"/>
                <w:highlight w:val="none"/>
                <w:lang w:val="en-US" w:eastAsia="zh-CN" w:bidi="ar-SA"/>
              </w:rPr>
            </w:pPr>
            <w:r>
              <w:rPr>
                <w:rFonts w:hint="eastAsia" w:ascii="宋体" w:hAnsi="宋体"/>
                <w:sz w:val="24"/>
                <w:szCs w:val="24"/>
                <w:highlight w:val="none"/>
                <w:lang w:val="en-US" w:eastAsia="zh-CN"/>
              </w:rPr>
              <w:t>河南润新</w:t>
            </w:r>
          </w:p>
        </w:tc>
        <w:tc>
          <w:tcPr>
            <w:tcW w:w="1587"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七</w:t>
            </w:r>
          </w:p>
        </w:tc>
        <w:tc>
          <w:tcPr>
            <w:tcW w:w="8617"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7"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Y-150/0~2.5MPa 1.6级</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PN1.6/DN32</w:t>
            </w:r>
          </w:p>
        </w:tc>
        <w:tc>
          <w:tcPr>
            <w:tcW w:w="719"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73"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401"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73"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A48H-16C PN1.6/DN32</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73"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7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19"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1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401"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7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球阀</w:t>
            </w:r>
          </w:p>
        </w:tc>
        <w:tc>
          <w:tcPr>
            <w:tcW w:w="3587"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1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3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4</w:t>
            </w:r>
          </w:p>
        </w:tc>
        <w:tc>
          <w:tcPr>
            <w:tcW w:w="1401"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八</w:t>
            </w:r>
          </w:p>
        </w:tc>
        <w:tc>
          <w:tcPr>
            <w:tcW w:w="8617"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7"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587"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13"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73"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587"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73"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401"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713"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7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58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WDR0.2-1.25-D</w:t>
            </w:r>
          </w:p>
        </w:tc>
        <w:tc>
          <w:tcPr>
            <w:tcW w:w="719"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37"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40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7"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091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0917" w:type="dxa"/>
            <w:gridSpan w:val="7"/>
            <w:noWrap w:val="0"/>
            <w:vAlign w:val="center"/>
          </w:tcPr>
          <w:p>
            <w:pPr>
              <w:jc w:val="left"/>
              <w:rPr>
                <w:rFonts w:hint="default" w:ascii="宋体" w:hAnsi="宋体" w:eastAsiaTheme="minorEastAsia"/>
                <w:sz w:val="24"/>
                <w:szCs w:val="24"/>
                <w:lang w:val="en-US" w:eastAsia="zh-CN"/>
              </w:rPr>
            </w:pPr>
            <w:r>
              <w:rPr>
                <w:rFonts w:hint="eastAsia" w:ascii="宋体" w:hAnsi="宋体" w:eastAsiaTheme="minorEastAsia"/>
                <w:sz w:val="24"/>
                <w:szCs w:val="24"/>
                <w:lang w:val="en-US" w:eastAsia="zh-CN"/>
              </w:rPr>
              <w:t>注：</w:t>
            </w:r>
          </w:p>
        </w:tc>
      </w:tr>
    </w:tbl>
    <w:p>
      <w:pPr>
        <w:pStyle w:val="4"/>
        <w:numPr>
          <w:ilvl w:val="0"/>
          <w:numId w:val="1"/>
        </w:numPr>
        <w:bidi w:val="0"/>
        <w:rPr>
          <w:rFonts w:hint="eastAsia"/>
          <w:lang w:val="en-US" w:eastAsia="zh-CN"/>
        </w:rPr>
      </w:pPr>
      <w:bookmarkStart w:id="7" w:name="_二、技术参数："/>
      <w:r>
        <w:rPr>
          <w:rFonts w:hint="eastAsia" w:ascii="黑体" w:hAnsi="黑体" w:eastAsia="黑体" w:cs="黑体"/>
          <w:lang w:val="en-US" w:eastAsia="zh-CN"/>
        </w:rPr>
        <w:t>技术参数：</w:t>
      </w:r>
      <w:bookmarkEnd w:id="5"/>
      <w:bookmarkEnd w:id="6"/>
    </w:p>
    <w:bookmarkEnd w:id="7"/>
    <w:tbl>
      <w:tblPr>
        <w:tblStyle w:val="11"/>
        <w:tblW w:w="1014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2"/>
        <w:gridCol w:w="1335"/>
        <w:gridCol w:w="480"/>
        <w:gridCol w:w="1955"/>
        <w:gridCol w:w="1465"/>
        <w:gridCol w:w="1027"/>
        <w:gridCol w:w="993"/>
        <w:gridCol w:w="759"/>
        <w:gridCol w:w="85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2" w:hRule="atLeast"/>
          <w:jc w:val="center"/>
        </w:trPr>
        <w:tc>
          <w:tcPr>
            <w:tcW w:w="1014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15979"/>
            <w:bookmarkStart w:id="9" w:name="_Toc6106"/>
            <w:r>
              <w:rPr>
                <w:rFonts w:hint="eastAsia"/>
                <w:b/>
                <w:bCs/>
                <w:color w:val="000000"/>
                <w:sz w:val="32"/>
                <w:szCs w:val="32"/>
                <w:lang w:val="en-US" w:eastAsia="zh-CN"/>
              </w:rPr>
              <w:t>电加热蒸汽锅炉数据表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WDR0.2-1.25-D</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35" w:hRule="atLeast"/>
          <w:jc w:val="center"/>
        </w:trPr>
        <w:tc>
          <w:tcPr>
            <w:tcW w:w="5042"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0.2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435" w:hRule="atLeast"/>
          <w:jc w:val="center"/>
        </w:trPr>
        <w:tc>
          <w:tcPr>
            <w:tcW w:w="5042"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5098"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热效率/%</w:t>
            </w:r>
          </w:p>
        </w:tc>
        <w:tc>
          <w:tcPr>
            <w:tcW w:w="5098"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设计能源</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2607"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能源消耗量</w:t>
            </w:r>
          </w:p>
        </w:tc>
        <w:tc>
          <w:tcPr>
            <w:tcW w:w="243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电</w:t>
            </w:r>
          </w:p>
        </w:tc>
        <w:tc>
          <w:tcPr>
            <w:tcW w:w="5098"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eastAsia="Tahoma" w:cs="Tahoma"/>
                <w:color w:val="000000"/>
                <w:lang w:val="en-US" w:eastAsia="zh-CN"/>
              </w:rPr>
              <w:t>30-144KW/h（最小工况/最大工况）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安装位置</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结构形式</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电压V</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电压上下最大浮动％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电源频率Hz</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频率最大浮动％</w:t>
            </w:r>
          </w:p>
        </w:tc>
        <w:tc>
          <w:tcPr>
            <w:tcW w:w="5098" w:type="dxa"/>
            <w:gridSpan w:val="5"/>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耗电功率KW</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144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变压器KVA</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kern w:val="0"/>
                <w:sz w:val="24"/>
                <w:szCs w:val="24"/>
                <w:lang w:val="en-US" w:eastAsia="zh-CN" w:bidi="ar-SA"/>
              </w:rPr>
              <w:t>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top"/>
          </w:tcPr>
          <w:p>
            <w:pPr>
              <w:pStyle w:val="10"/>
              <w:spacing w:line="23" w:lineRule="atLeast"/>
              <w:jc w:val="center"/>
              <w:rPr>
                <w:rFonts w:hint="eastAsia"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主电源线m²</w:t>
            </w:r>
          </w:p>
        </w:tc>
        <w:tc>
          <w:tcPr>
            <w:tcW w:w="5098" w:type="dxa"/>
            <w:gridSpan w:val="5"/>
            <w:noWrap w:val="0"/>
            <w:vAlign w:val="top"/>
          </w:tcPr>
          <w:p>
            <w:pPr>
              <w:pStyle w:val="10"/>
              <w:spacing w:line="23" w:lineRule="atLeast"/>
              <w:jc w:val="center"/>
              <w:rPr>
                <w:rFonts w:hint="default" w:ascii="Tahoma" w:hAnsi="Tahoma" w:eastAsia="Tahoma" w:cs="Tahoma"/>
                <w:color w:val="000000"/>
                <w:kern w:val="0"/>
                <w:sz w:val="24"/>
                <w:szCs w:val="24"/>
                <w:lang w:val="en-US" w:eastAsia="zh-CN" w:bidi="ar-SA"/>
              </w:rPr>
            </w:pPr>
            <w:r>
              <w:rPr>
                <w:rFonts w:hint="eastAsia" w:ascii="Tahoma" w:hAnsi="Tahoma" w:eastAsia="Tahoma" w:cs="Tahoma"/>
                <w:color w:val="000000"/>
                <w:lang w:val="en-US" w:eastAsia="zh-CN"/>
              </w:rPr>
              <w:t>70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5098"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5042"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5098"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3087" w:type="dxa"/>
            <w:gridSpan w:val="3"/>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给水泵适配规范</w:t>
            </w:r>
          </w:p>
        </w:tc>
        <w:tc>
          <w:tcPr>
            <w:tcW w:w="3420" w:type="dxa"/>
            <w:gridSpan w:val="2"/>
            <w:tcBorders>
              <w:righ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配套电控规范</w:t>
            </w:r>
          </w:p>
        </w:tc>
        <w:tc>
          <w:tcPr>
            <w:tcW w:w="3633" w:type="dxa"/>
            <w:gridSpan w:val="4"/>
            <w:tcBorders>
              <w:left w:val="single" w:color="auto" w:sz="4" w:space="0"/>
            </w:tcBorders>
            <w:noWrap w:val="0"/>
            <w:vAlign w:val="center"/>
          </w:tcPr>
          <w:p>
            <w:pPr>
              <w:pStyle w:val="10"/>
              <w:spacing w:line="240" w:lineRule="auto"/>
              <w:jc w:val="center"/>
              <w:rPr>
                <w:rFonts w:hint="eastAsia"/>
                <w:b/>
                <w:bCs/>
                <w:color w:val="000000"/>
                <w:sz w:val="24"/>
                <w:szCs w:val="24"/>
                <w:lang w:val="en-US" w:eastAsia="zh-CN"/>
              </w:rPr>
            </w:pPr>
            <w:r>
              <w:rPr>
                <w:rFonts w:hint="eastAsia"/>
                <w:b/>
                <w:bCs/>
                <w:color w:val="000000"/>
                <w:sz w:val="24"/>
                <w:szCs w:val="24"/>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型号</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CDL2-150</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HXDK-0.2</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型号</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FQG159-0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流量</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1.2m</w:t>
            </w:r>
            <w:r>
              <w:rPr>
                <w:rFonts w:hint="eastAsia" w:ascii="Tahoma" w:hAnsi="Tahoma" w:cs="Tahoma"/>
                <w:color w:val="000000"/>
                <w:sz w:val="21"/>
                <w:szCs w:val="21"/>
                <w:vertAlign w:val="superscript"/>
                <w:lang w:val="en-US" w:eastAsia="zh-CN"/>
              </w:rPr>
              <w:t>3</w:t>
            </w:r>
            <w:r>
              <w:rPr>
                <w:rFonts w:hint="eastAsia" w:ascii="Tahoma" w:hAnsi="Tahoma" w:cs="Tahoma"/>
                <w:color w:val="000000"/>
                <w:sz w:val="21"/>
                <w:szCs w:val="21"/>
                <w:lang w:val="en-US" w:eastAsia="zh-CN"/>
              </w:rPr>
              <w:t>/h</w:t>
            </w:r>
          </w:p>
        </w:tc>
        <w:tc>
          <w:tcPr>
            <w:tcW w:w="1955"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控制范围</w:t>
            </w:r>
          </w:p>
        </w:tc>
        <w:tc>
          <w:tcPr>
            <w:tcW w:w="1465"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0-1.25Mpa</w:t>
            </w:r>
          </w:p>
        </w:tc>
        <w:tc>
          <w:tcPr>
            <w:tcW w:w="1027"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3"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Φ159×6</w:t>
            </w:r>
          </w:p>
        </w:tc>
        <w:tc>
          <w:tcPr>
            <w:tcW w:w="759"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5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0.02m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扬程</w:t>
            </w:r>
          </w:p>
        </w:tc>
        <w:tc>
          <w:tcPr>
            <w:tcW w:w="181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1"/>
                <w:szCs w:val="21"/>
                <w:lang w:val="en-US" w:eastAsia="zh-CN"/>
              </w:rPr>
              <w:t>123m</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本体结构</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箱式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额定工作压力</w:t>
            </w:r>
          </w:p>
        </w:tc>
        <w:tc>
          <w:tcPr>
            <w:tcW w:w="16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3" w:hRule="atLeast"/>
          <w:jc w:val="center"/>
        </w:trPr>
        <w:tc>
          <w:tcPr>
            <w:tcW w:w="1272"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4"/>
                <w:szCs w:val="24"/>
                <w:lang w:eastAsia="zh-CN"/>
              </w:rPr>
              <w:t>电机功率</w:t>
            </w:r>
          </w:p>
        </w:tc>
        <w:tc>
          <w:tcPr>
            <w:tcW w:w="181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1"/>
                <w:szCs w:val="21"/>
                <w:lang w:val="en-US" w:eastAsia="zh-CN"/>
              </w:rPr>
              <w:t>1.5KW</w:t>
            </w:r>
          </w:p>
        </w:tc>
        <w:tc>
          <w:tcPr>
            <w:tcW w:w="1955"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eastAsia="zh-CN"/>
              </w:rPr>
              <w:t>固定方式</w:t>
            </w:r>
          </w:p>
        </w:tc>
        <w:tc>
          <w:tcPr>
            <w:tcW w:w="1465"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挂式</w:t>
            </w:r>
          </w:p>
        </w:tc>
        <w:tc>
          <w:tcPr>
            <w:tcW w:w="202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额定工作温度</w:t>
            </w:r>
          </w:p>
        </w:tc>
        <w:tc>
          <w:tcPr>
            <w:tcW w:w="16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194</w:t>
            </w:r>
            <w:r>
              <w:rPr>
                <w:rFonts w:hint="eastAsia" w:ascii="Tahoma" w:hAnsi="Tahoma" w:cs="Tahoma"/>
                <w:b/>
                <w:bCs/>
                <w:color w:val="000000"/>
                <w:sz w:val="24"/>
                <w:szCs w:val="24"/>
                <w:lang w:val="en-US" w:eastAsia="zh-CN"/>
              </w:rPr>
              <w:t>℃</w:t>
            </w:r>
          </w:p>
        </w:tc>
      </w:tr>
    </w:tbl>
    <w:p>
      <w:pPr>
        <w:pStyle w:val="4"/>
        <w:bidi w:val="0"/>
        <w:rPr>
          <w:rFonts w:hint="eastAsia" w:ascii="黑体" w:hAnsi="黑体" w:eastAsia="黑体" w:cs="黑体"/>
          <w:lang w:val="en-US" w:eastAsia="zh-CN"/>
        </w:rPr>
      </w:pPr>
      <w:bookmarkStart w:id="10" w:name="_三、公司简介："/>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w:t>
      </w:r>
      <w:r>
        <w:rPr>
          <w:rFonts w:hint="eastAsia" w:ascii="仿宋_GB2312" w:eastAsia="仿宋_GB2312" w:hAnsiTheme="minorHAnsi"/>
          <w:kern w:val="2"/>
          <w:sz w:val="22"/>
          <w:szCs w:val="22"/>
          <w:lang w:val="en-US" w:eastAsia="zh-CN"/>
        </w:rPr>
        <w:t>电加热</w:t>
      </w:r>
      <w:r>
        <w:rPr>
          <w:rFonts w:ascii="仿宋_GB2312" w:eastAsia="仿宋_GB2312" w:hAnsiTheme="minorHAnsi"/>
          <w:kern w:val="2"/>
          <w:sz w:val="22"/>
          <w:szCs w:val="22"/>
          <w:lang w:val="en-US"/>
        </w:rPr>
        <w:t>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9567"/>
      <w:bookmarkStart w:id="12" w:name="_Toc25758"/>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 name="图片 1"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69" w:name="_GoBack"/>
      <w:bookmarkEnd w:id="69"/>
    </w:p>
    <w:p>
      <w:pPr>
        <w:rPr>
          <w:rFonts w:hint="eastAsia" w:eastAsia="仿宋_GB2312"/>
          <w:lang w:eastAsia="zh-CN"/>
        </w:rPr>
      </w:pPr>
      <w:r>
        <w:rPr>
          <w:rFonts w:hint="eastAsia" w:eastAsia="仿宋_GB2312"/>
          <w:lang w:eastAsia="zh-CN"/>
        </w:rPr>
        <w:drawing>
          <wp:inline distT="0" distB="0" distL="114300" distR="114300">
            <wp:extent cx="5565140" cy="4173855"/>
            <wp:effectExtent l="0" t="0" r="16510" b="17145"/>
            <wp:docPr id="6" name="图片 6" descr="DSC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128"/>
                    <pic:cNvPicPr>
                      <a:picLocks noChangeAspect="1"/>
                    </pic:cNvPicPr>
                  </pic:nvPicPr>
                  <pic:blipFill>
                    <a:blip r:embed="rId18"/>
                    <a:stretch>
                      <a:fillRect/>
                    </a:stretch>
                  </pic:blipFill>
                  <pic:spPr>
                    <a:xfrm>
                      <a:off x="0" y="0"/>
                      <a:ext cx="5565140" cy="4173855"/>
                    </a:xfrm>
                    <a:prstGeom prst="rect">
                      <a:avLst/>
                    </a:prstGeom>
                  </pic:spPr>
                </pic:pic>
              </a:graphicData>
            </a:graphic>
          </wp:inline>
        </w:drawing>
      </w:r>
      <w:r>
        <w:rPr>
          <w:rFonts w:hint="eastAsia" w:eastAsia="仿宋_GB2312"/>
          <w:lang w:eastAsia="zh-CN"/>
        </w:rPr>
        <w:drawing>
          <wp:inline distT="0" distB="0" distL="114300" distR="114300">
            <wp:extent cx="5513070" cy="3674110"/>
            <wp:effectExtent l="0" t="0" r="11430" b="2540"/>
            <wp:docPr id="7" name="图片 7" descr="DSC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0134"/>
                    <pic:cNvPicPr>
                      <a:picLocks noChangeAspect="1"/>
                    </pic:cNvPicPr>
                  </pic:nvPicPr>
                  <pic:blipFill>
                    <a:blip r:embed="rId19"/>
                    <a:stretch>
                      <a:fillRect/>
                    </a:stretch>
                  </pic:blipFill>
                  <pic:spPr>
                    <a:xfrm>
                      <a:off x="0" y="0"/>
                      <a:ext cx="5513070" cy="3674110"/>
                    </a:xfrm>
                    <a:prstGeom prst="rect">
                      <a:avLst/>
                    </a:prstGeom>
                  </pic:spPr>
                </pic:pic>
              </a:graphicData>
            </a:graphic>
          </wp:inline>
        </w:drawing>
      </w:r>
      <w:r>
        <w:rPr>
          <w:rFonts w:hint="eastAsia" w:eastAsia="仿宋_GB2312"/>
          <w:lang w:eastAsia="zh-CN"/>
        </w:rPr>
        <w:drawing>
          <wp:inline distT="0" distB="0" distL="114300" distR="114300">
            <wp:extent cx="5762625" cy="4321810"/>
            <wp:effectExtent l="0" t="0" r="9525" b="2540"/>
            <wp:docPr id="9" name="图片 9" descr="DSC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SC00138"/>
                    <pic:cNvPicPr>
                      <a:picLocks noChangeAspect="1"/>
                    </pic:cNvPicPr>
                  </pic:nvPicPr>
                  <pic:blipFill>
                    <a:blip r:embed="rId20"/>
                    <a:stretch>
                      <a:fillRect/>
                    </a:stretch>
                  </pic:blipFill>
                  <pic:spPr>
                    <a:xfrm>
                      <a:off x="0" y="0"/>
                      <a:ext cx="5762625" cy="4321810"/>
                    </a:xfrm>
                    <a:prstGeom prst="rect">
                      <a:avLst/>
                    </a:prstGeom>
                  </pic:spPr>
                </pic:pic>
              </a:graphicData>
            </a:graphic>
          </wp:inline>
        </w:drawing>
      </w:r>
      <w:r>
        <w:rPr>
          <w:rFonts w:hint="eastAsia" w:eastAsia="仿宋_GB2312"/>
          <w:lang w:eastAsia="zh-CN"/>
        </w:rPr>
        <w:drawing>
          <wp:inline distT="0" distB="0" distL="114300" distR="114300">
            <wp:extent cx="5754370" cy="4316095"/>
            <wp:effectExtent l="0" t="0" r="17780" b="8255"/>
            <wp:docPr id="10" name="图片 10" descr="DSC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DSC00150"/>
                    <pic:cNvPicPr>
                      <a:picLocks noChangeAspect="1"/>
                    </pic:cNvPicPr>
                  </pic:nvPicPr>
                  <pic:blipFill>
                    <a:blip r:embed="rId21"/>
                    <a:stretch>
                      <a:fillRect/>
                    </a:stretch>
                  </pic:blipFill>
                  <pic:spPr>
                    <a:xfrm>
                      <a:off x="0" y="0"/>
                      <a:ext cx="5754370" cy="4316095"/>
                    </a:xfrm>
                    <a:prstGeom prst="rect">
                      <a:avLst/>
                    </a:prstGeom>
                  </pic:spPr>
                </pic:pic>
              </a:graphicData>
            </a:graphic>
          </wp:inline>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rPr>
          <w:rFonts w:hint="eastAsia"/>
        </w:rPr>
      </w:pPr>
      <w:bookmarkStart w:id="20" w:name="_Toc7849"/>
      <w:bookmarkStart w:id="21" w:name="_6、自动保护装置"/>
      <w:r>
        <w:rPr>
          <w:rFonts w:hint="eastAsia"/>
          <w:lang w:val="en-US" w:eastAsia="zh-CN"/>
        </w:rPr>
        <w:t>2、</w:t>
      </w:r>
      <w:r>
        <w:rPr>
          <w:rFonts w:hint="eastAsia"/>
        </w:rPr>
        <w:t>自动保护装置</w:t>
      </w:r>
      <w:bookmarkEnd w:id="20"/>
    </w:p>
    <w:bookmarkEnd w:id="2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22" w:name="_Toc14886"/>
      <w:bookmarkStart w:id="23" w:name="_7、主要设计依据"/>
      <w:r>
        <w:rPr>
          <w:rFonts w:hint="eastAsia"/>
          <w:lang w:val="en-US" w:eastAsia="zh-CN"/>
        </w:rPr>
        <w:t>3</w:t>
      </w:r>
      <w:r>
        <w:rPr>
          <w:rFonts w:hint="eastAsia"/>
        </w:rPr>
        <w:t>、主要设计依据</w:t>
      </w:r>
      <w:bookmarkEnd w:id="22"/>
    </w:p>
    <w:bookmarkEnd w:id="2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24" w:name="_Toc1742"/>
      <w:bookmarkStart w:id="25" w:name="_Toc16382"/>
      <w:bookmarkStart w:id="26" w:name="_六、客户来访"/>
      <w:r>
        <w:rPr>
          <w:rFonts w:hint="eastAsia" w:ascii="黑体" w:hAnsi="黑体" w:eastAsia="黑体" w:cs="黑体"/>
          <w:lang w:val="en-US" w:eastAsia="zh-CN"/>
        </w:rPr>
        <w:t>六、客户来访</w:t>
      </w:r>
      <w:bookmarkEnd w:id="24"/>
      <w:bookmarkEnd w:id="25"/>
    </w:p>
    <w:bookmarkEnd w:id="26"/>
    <w:p>
      <w:pPr>
        <w:pStyle w:val="4"/>
        <w:bidi w:val="0"/>
        <w:rPr>
          <w:rFonts w:hint="eastAsia" w:ascii="黑体" w:hAnsi="黑体" w:eastAsia="黑体" w:cs="黑体"/>
        </w:rPr>
      </w:pPr>
      <w:bookmarkStart w:id="27" w:name="_Toc19245"/>
      <w:bookmarkStart w:id="28" w:name="_Toc24433"/>
      <w:bookmarkStart w:id="29" w:name="_七、设备支持"/>
      <w:r>
        <w:rPr>
          <w:rFonts w:hint="eastAsia" w:ascii="黑体" w:hAnsi="黑体" w:eastAsia="黑体" w:cs="黑体"/>
        </w:rPr>
        <w:t>七、设备支持</w:t>
      </w:r>
      <w:bookmarkEnd w:id="27"/>
      <w:bookmarkEnd w:id="28"/>
    </w:p>
    <w:bookmarkEnd w:id="2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30" w:name="_Toc10238"/>
      <w:bookmarkStart w:id="31" w:name="_Toc20335"/>
      <w:bookmarkStart w:id="32" w:name="_八、安全、质量保证措施"/>
      <w:r>
        <w:rPr>
          <w:rFonts w:hint="eastAsia" w:ascii="黑体" w:hAnsi="黑体" w:eastAsia="黑体" w:cs="黑体"/>
        </w:rPr>
        <w:t>八、安全、质量保证措施</w:t>
      </w:r>
      <w:bookmarkEnd w:id="30"/>
      <w:bookmarkEnd w:id="31"/>
    </w:p>
    <w:bookmarkEnd w:id="32"/>
    <w:p>
      <w:pPr>
        <w:pStyle w:val="5"/>
        <w:bidi w:val="0"/>
      </w:pPr>
      <w:bookmarkStart w:id="33" w:name="_Toc22766"/>
      <w:bookmarkStart w:id="34" w:name="_Toc19102"/>
      <w:bookmarkStart w:id="35" w:name="_1、安全保证措施"/>
      <w:r>
        <w:rPr>
          <w:rFonts w:hint="eastAsia"/>
        </w:rPr>
        <w:t>1、安全保证措施</w:t>
      </w:r>
      <w:bookmarkEnd w:id="33"/>
      <w:bookmarkEnd w:id="34"/>
    </w:p>
    <w:bookmarkEnd w:id="3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36" w:name="_Toc24681"/>
      <w:bookmarkStart w:id="37" w:name="_Toc5385"/>
      <w:bookmarkStart w:id="38" w:name="_2、质量保证措施"/>
      <w:r>
        <w:rPr>
          <w:rFonts w:hint="eastAsia"/>
        </w:rPr>
        <w:t>2、质量保证措施</w:t>
      </w:r>
      <w:bookmarkEnd w:id="36"/>
      <w:bookmarkEnd w:id="37"/>
    </w:p>
    <w:bookmarkEnd w:id="3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39" w:name="_Toc27077"/>
      <w:bookmarkStart w:id="40" w:name="_Toc27029"/>
      <w:bookmarkStart w:id="41" w:name="_九、售后服务承诺"/>
      <w:r>
        <w:rPr>
          <w:rFonts w:hint="eastAsia" w:ascii="黑体" w:hAnsi="黑体" w:eastAsia="黑体" w:cs="黑体"/>
        </w:rPr>
        <w:t>九、售后服务承诺</w:t>
      </w:r>
      <w:bookmarkEnd w:id="39"/>
      <w:bookmarkEnd w:id="40"/>
    </w:p>
    <w:bookmarkEnd w:id="41"/>
    <w:p>
      <w:pPr>
        <w:pStyle w:val="5"/>
        <w:bidi w:val="0"/>
      </w:pPr>
      <w:bookmarkStart w:id="42" w:name="_Toc25148"/>
      <w:bookmarkStart w:id="43" w:name="_Toc22905"/>
      <w:bookmarkStart w:id="44" w:name="_1、服务体系"/>
      <w:r>
        <w:rPr>
          <w:rFonts w:hint="eastAsia"/>
        </w:rPr>
        <w:t>1、服务体系</w:t>
      </w:r>
      <w:bookmarkEnd w:id="42"/>
      <w:bookmarkEnd w:id="43"/>
    </w:p>
    <w:bookmarkEnd w:id="4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45" w:name="_Toc26214"/>
      <w:bookmarkStart w:id="46" w:name="_Toc8038"/>
      <w:bookmarkStart w:id="47" w:name="_2、售前服务"/>
      <w:r>
        <w:rPr>
          <w:rFonts w:hint="eastAsia"/>
        </w:rPr>
        <w:t>2、售前服务</w:t>
      </w:r>
      <w:bookmarkEnd w:id="45"/>
      <w:bookmarkEnd w:id="46"/>
      <w:r>
        <w:rPr>
          <w:rFonts w:hint="eastAsia"/>
        </w:rPr>
        <w:t xml:space="preserve">  </w:t>
      </w:r>
    </w:p>
    <w:bookmarkEnd w:id="4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48" w:name="_Toc31300"/>
      <w:bookmarkStart w:id="49" w:name="_Toc1965"/>
      <w:bookmarkStart w:id="50" w:name="_3、售后服务"/>
      <w:r>
        <w:rPr>
          <w:rFonts w:hint="eastAsia"/>
        </w:rPr>
        <w:t>3、售后服务</w:t>
      </w:r>
      <w:bookmarkEnd w:id="48"/>
      <w:bookmarkEnd w:id="49"/>
    </w:p>
    <w:bookmarkEnd w:id="5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51" w:name="_Toc23918"/>
      <w:bookmarkStart w:id="52" w:name="_Toc30005"/>
      <w:bookmarkStart w:id="53" w:name="_4、规范化的服务标准"/>
      <w:r>
        <w:rPr>
          <w:rFonts w:hint="eastAsia"/>
        </w:rPr>
        <w:t>4、规范化的服务标准</w:t>
      </w:r>
      <w:bookmarkEnd w:id="51"/>
      <w:bookmarkEnd w:id="52"/>
    </w:p>
    <w:bookmarkEnd w:id="5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54" w:name="_Toc26737"/>
      <w:bookmarkStart w:id="55" w:name="_Toc11155"/>
      <w:bookmarkStart w:id="56" w:name="_5、星级服务1、2、3、4模式"/>
      <w:r>
        <w:rPr>
          <w:rFonts w:hint="eastAsia"/>
        </w:rPr>
        <w:t>5、星级服务1、2、3、4模式</w:t>
      </w:r>
      <w:bookmarkEnd w:id="54"/>
      <w:bookmarkEnd w:id="55"/>
    </w:p>
    <w:bookmarkEnd w:id="5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57" w:name="_Toc3701"/>
      <w:bookmarkStart w:id="58" w:name="_Toc7786"/>
      <w:bookmarkStart w:id="59" w:name="_6、技术服务与联络"/>
      <w:r>
        <w:rPr>
          <w:rFonts w:hint="eastAsia"/>
        </w:rPr>
        <w:t>6、技术服务与联络</w:t>
      </w:r>
      <w:bookmarkEnd w:id="57"/>
      <w:bookmarkEnd w:id="58"/>
    </w:p>
    <w:bookmarkEnd w:id="5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60" w:name="_Toc17331"/>
      <w:bookmarkStart w:id="61" w:name="_Toc8578"/>
      <w:bookmarkStart w:id="62" w:name="_7、组织保证"/>
      <w:r>
        <w:rPr>
          <w:rFonts w:hint="eastAsia"/>
        </w:rPr>
        <w:t>7、组织保证</w:t>
      </w:r>
      <w:bookmarkEnd w:id="60"/>
      <w:bookmarkEnd w:id="61"/>
    </w:p>
    <w:bookmarkEnd w:id="6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63" w:name="_Toc27408"/>
      <w:bookmarkStart w:id="64" w:name="_Toc31432"/>
      <w:bookmarkStart w:id="65" w:name="_十、厂区环境"/>
      <w:r>
        <w:rPr>
          <w:rFonts w:hint="eastAsia" w:ascii="黑体" w:hAnsi="黑体" w:eastAsia="黑体" w:cs="黑体"/>
        </w:rPr>
        <w:t>十、厂区环境</w:t>
      </w:r>
      <w:bookmarkEnd w:id="63"/>
      <w:bookmarkEnd w:id="64"/>
    </w:p>
    <w:bookmarkEnd w:id="6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66" w:name="_Toc9426"/>
      <w:bookmarkStart w:id="67" w:name="_Toc11023"/>
      <w:bookmarkStart w:id="68" w:name="_十一、公司寄语"/>
      <w:r>
        <w:rPr>
          <w:rFonts w:hint="eastAsia" w:ascii="黑体" w:hAnsi="黑体" w:eastAsia="黑体" w:cs="黑体"/>
          <w:lang w:val="en-US" w:eastAsia="zh-CN"/>
        </w:rPr>
        <w:t>十一、公司</w:t>
      </w:r>
      <w:bookmarkEnd w:id="66"/>
      <w:r>
        <w:rPr>
          <w:rFonts w:hint="eastAsia" w:ascii="黑体" w:hAnsi="黑体" w:eastAsia="黑体" w:cs="黑体"/>
          <w:lang w:val="en-US" w:eastAsia="zh-CN"/>
        </w:rPr>
        <w:t>寄语</w:t>
      </w:r>
      <w:bookmarkEnd w:id="67"/>
    </w:p>
    <w:bookmarkEnd w:id="6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19AEC"/>
    <w:multiLevelType w:val="singleLevel"/>
    <w:tmpl w:val="A0519AE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A75E2C"/>
    <w:rsid w:val="03C70AD5"/>
    <w:rsid w:val="03EF4C47"/>
    <w:rsid w:val="045D2E23"/>
    <w:rsid w:val="04BB2B23"/>
    <w:rsid w:val="04DF5F2E"/>
    <w:rsid w:val="05696E27"/>
    <w:rsid w:val="05A0746B"/>
    <w:rsid w:val="05A53B6A"/>
    <w:rsid w:val="05DA2168"/>
    <w:rsid w:val="05E03D0C"/>
    <w:rsid w:val="05FE7BBD"/>
    <w:rsid w:val="06155D3C"/>
    <w:rsid w:val="0619373E"/>
    <w:rsid w:val="063021E4"/>
    <w:rsid w:val="06334530"/>
    <w:rsid w:val="06635EA2"/>
    <w:rsid w:val="067A5F0E"/>
    <w:rsid w:val="068426BF"/>
    <w:rsid w:val="06935222"/>
    <w:rsid w:val="06B15F12"/>
    <w:rsid w:val="070E7A21"/>
    <w:rsid w:val="074E161D"/>
    <w:rsid w:val="07BF667B"/>
    <w:rsid w:val="07C531B9"/>
    <w:rsid w:val="07F13FAE"/>
    <w:rsid w:val="080812F8"/>
    <w:rsid w:val="08AB0AE0"/>
    <w:rsid w:val="08B9073E"/>
    <w:rsid w:val="08BE6F38"/>
    <w:rsid w:val="08C1596C"/>
    <w:rsid w:val="095A42B6"/>
    <w:rsid w:val="0962474B"/>
    <w:rsid w:val="096E2E44"/>
    <w:rsid w:val="098B3F8E"/>
    <w:rsid w:val="09D75580"/>
    <w:rsid w:val="09DC01B4"/>
    <w:rsid w:val="0A813B36"/>
    <w:rsid w:val="0AD43E4B"/>
    <w:rsid w:val="0B742B96"/>
    <w:rsid w:val="0B7E3EC8"/>
    <w:rsid w:val="0B8B64C8"/>
    <w:rsid w:val="0BC65752"/>
    <w:rsid w:val="0BDE6F3F"/>
    <w:rsid w:val="0C894D11"/>
    <w:rsid w:val="0D6D5FF2"/>
    <w:rsid w:val="0DDA5293"/>
    <w:rsid w:val="0DE70BA4"/>
    <w:rsid w:val="0E0A3189"/>
    <w:rsid w:val="0E2B1997"/>
    <w:rsid w:val="0ED85EC5"/>
    <w:rsid w:val="0F5F42ED"/>
    <w:rsid w:val="0F836EE2"/>
    <w:rsid w:val="0FA51AAB"/>
    <w:rsid w:val="1021389E"/>
    <w:rsid w:val="104155FB"/>
    <w:rsid w:val="1051013C"/>
    <w:rsid w:val="11245688"/>
    <w:rsid w:val="11A8771C"/>
    <w:rsid w:val="11B916BF"/>
    <w:rsid w:val="120C5D0C"/>
    <w:rsid w:val="15126972"/>
    <w:rsid w:val="15282FD9"/>
    <w:rsid w:val="15776508"/>
    <w:rsid w:val="15B548B1"/>
    <w:rsid w:val="169F3EDD"/>
    <w:rsid w:val="16C15291"/>
    <w:rsid w:val="16DA0303"/>
    <w:rsid w:val="17463BEB"/>
    <w:rsid w:val="17863744"/>
    <w:rsid w:val="17935082"/>
    <w:rsid w:val="17A23E6D"/>
    <w:rsid w:val="1800023D"/>
    <w:rsid w:val="18B75FE1"/>
    <w:rsid w:val="18C304F1"/>
    <w:rsid w:val="18FE29CF"/>
    <w:rsid w:val="194128BC"/>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035DE3"/>
    <w:rsid w:val="21A76AC9"/>
    <w:rsid w:val="220E29EB"/>
    <w:rsid w:val="22110E8E"/>
    <w:rsid w:val="228C5F60"/>
    <w:rsid w:val="22FA0FEE"/>
    <w:rsid w:val="23353491"/>
    <w:rsid w:val="23A3664D"/>
    <w:rsid w:val="240B41F2"/>
    <w:rsid w:val="24405371"/>
    <w:rsid w:val="24E54A43"/>
    <w:rsid w:val="24FF3D57"/>
    <w:rsid w:val="251D5AD1"/>
    <w:rsid w:val="258D56D9"/>
    <w:rsid w:val="25C1100C"/>
    <w:rsid w:val="25F0276F"/>
    <w:rsid w:val="2605432E"/>
    <w:rsid w:val="260B7449"/>
    <w:rsid w:val="26487037"/>
    <w:rsid w:val="26870C67"/>
    <w:rsid w:val="26E32CB2"/>
    <w:rsid w:val="271A7E79"/>
    <w:rsid w:val="278F7A7D"/>
    <w:rsid w:val="27A720F5"/>
    <w:rsid w:val="27DE3507"/>
    <w:rsid w:val="2835035F"/>
    <w:rsid w:val="28445F24"/>
    <w:rsid w:val="28722A91"/>
    <w:rsid w:val="29273C26"/>
    <w:rsid w:val="29AC1FD3"/>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7E6CB6"/>
    <w:rsid w:val="33660F1D"/>
    <w:rsid w:val="344277BC"/>
    <w:rsid w:val="34A007DF"/>
    <w:rsid w:val="35571045"/>
    <w:rsid w:val="35AF0E81"/>
    <w:rsid w:val="36513CE6"/>
    <w:rsid w:val="365E1ABA"/>
    <w:rsid w:val="3699743B"/>
    <w:rsid w:val="36C95F72"/>
    <w:rsid w:val="375A12C0"/>
    <w:rsid w:val="37DA5CD7"/>
    <w:rsid w:val="37F34565"/>
    <w:rsid w:val="38303DCF"/>
    <w:rsid w:val="388F7E08"/>
    <w:rsid w:val="389D0E27"/>
    <w:rsid w:val="392733AE"/>
    <w:rsid w:val="39353D74"/>
    <w:rsid w:val="39E84962"/>
    <w:rsid w:val="3A0D261A"/>
    <w:rsid w:val="3A43559A"/>
    <w:rsid w:val="3A836B3C"/>
    <w:rsid w:val="3A8F74D3"/>
    <w:rsid w:val="3A9457C2"/>
    <w:rsid w:val="3AB26081"/>
    <w:rsid w:val="3ABB2076"/>
    <w:rsid w:val="3ACC6031"/>
    <w:rsid w:val="3B201ED9"/>
    <w:rsid w:val="3B985F13"/>
    <w:rsid w:val="3BE249DC"/>
    <w:rsid w:val="3C1A4DAA"/>
    <w:rsid w:val="3C462230"/>
    <w:rsid w:val="3C8353AD"/>
    <w:rsid w:val="3CB00191"/>
    <w:rsid w:val="3CB1295C"/>
    <w:rsid w:val="3D74499B"/>
    <w:rsid w:val="3DA43295"/>
    <w:rsid w:val="3E1B38D6"/>
    <w:rsid w:val="3E2661F2"/>
    <w:rsid w:val="3E9A01F4"/>
    <w:rsid w:val="3E9C5D1B"/>
    <w:rsid w:val="3F281BB1"/>
    <w:rsid w:val="3F6F02F3"/>
    <w:rsid w:val="40C42DC3"/>
    <w:rsid w:val="417C4D58"/>
    <w:rsid w:val="418C4F2A"/>
    <w:rsid w:val="41A06FEC"/>
    <w:rsid w:val="41A2189A"/>
    <w:rsid w:val="41B31F30"/>
    <w:rsid w:val="428856B7"/>
    <w:rsid w:val="42D979A6"/>
    <w:rsid w:val="43077C5C"/>
    <w:rsid w:val="434C77E3"/>
    <w:rsid w:val="43572219"/>
    <w:rsid w:val="4541177A"/>
    <w:rsid w:val="458B6D8E"/>
    <w:rsid w:val="45B918A8"/>
    <w:rsid w:val="460D6277"/>
    <w:rsid w:val="464E0242"/>
    <w:rsid w:val="47095F17"/>
    <w:rsid w:val="474C0428"/>
    <w:rsid w:val="47D96A2F"/>
    <w:rsid w:val="48537D92"/>
    <w:rsid w:val="48993E7C"/>
    <w:rsid w:val="49A1484E"/>
    <w:rsid w:val="4A253048"/>
    <w:rsid w:val="4A865B7B"/>
    <w:rsid w:val="4AA422F4"/>
    <w:rsid w:val="4AEE5B50"/>
    <w:rsid w:val="4BAF1783"/>
    <w:rsid w:val="4C6939FC"/>
    <w:rsid w:val="4C9F4305"/>
    <w:rsid w:val="4CC0148B"/>
    <w:rsid w:val="4CD80866"/>
    <w:rsid w:val="4CF3223A"/>
    <w:rsid w:val="4DA95138"/>
    <w:rsid w:val="4E8652E5"/>
    <w:rsid w:val="4E8F5394"/>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6E3324"/>
    <w:rsid w:val="549A28A4"/>
    <w:rsid w:val="554051FA"/>
    <w:rsid w:val="55B00902"/>
    <w:rsid w:val="55D07486"/>
    <w:rsid w:val="56424959"/>
    <w:rsid w:val="56674A08"/>
    <w:rsid w:val="56F049FE"/>
    <w:rsid w:val="576D624C"/>
    <w:rsid w:val="57D80B62"/>
    <w:rsid w:val="58D40E96"/>
    <w:rsid w:val="58EF652E"/>
    <w:rsid w:val="59851D75"/>
    <w:rsid w:val="59926240"/>
    <w:rsid w:val="5A094FC5"/>
    <w:rsid w:val="5B540FD7"/>
    <w:rsid w:val="5B656BC2"/>
    <w:rsid w:val="5BA447C4"/>
    <w:rsid w:val="5BC8172D"/>
    <w:rsid w:val="5BCE3269"/>
    <w:rsid w:val="5C6953F1"/>
    <w:rsid w:val="5DA86032"/>
    <w:rsid w:val="5E6259D5"/>
    <w:rsid w:val="5EA44A4C"/>
    <w:rsid w:val="5F1E4355"/>
    <w:rsid w:val="5FA42829"/>
    <w:rsid w:val="60082DB8"/>
    <w:rsid w:val="602D0A9E"/>
    <w:rsid w:val="608355EB"/>
    <w:rsid w:val="60F81E86"/>
    <w:rsid w:val="615838F7"/>
    <w:rsid w:val="6165315A"/>
    <w:rsid w:val="62076EE2"/>
    <w:rsid w:val="62683FE2"/>
    <w:rsid w:val="62737C80"/>
    <w:rsid w:val="6299019D"/>
    <w:rsid w:val="634051F6"/>
    <w:rsid w:val="6377272F"/>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A742FB"/>
    <w:rsid w:val="70E1568B"/>
    <w:rsid w:val="71864D87"/>
    <w:rsid w:val="71B24BD6"/>
    <w:rsid w:val="71C869D7"/>
    <w:rsid w:val="71F9687A"/>
    <w:rsid w:val="72363DD1"/>
    <w:rsid w:val="72DE3255"/>
    <w:rsid w:val="72E36E6C"/>
    <w:rsid w:val="73154050"/>
    <w:rsid w:val="73637E23"/>
    <w:rsid w:val="73D4764E"/>
    <w:rsid w:val="7440146B"/>
    <w:rsid w:val="74614EB7"/>
    <w:rsid w:val="75D752AF"/>
    <w:rsid w:val="76545BF3"/>
    <w:rsid w:val="766A7ED1"/>
    <w:rsid w:val="769B452E"/>
    <w:rsid w:val="77F4039A"/>
    <w:rsid w:val="77F51A1C"/>
    <w:rsid w:val="781A67A6"/>
    <w:rsid w:val="785422B4"/>
    <w:rsid w:val="78B3729F"/>
    <w:rsid w:val="78DE0702"/>
    <w:rsid w:val="79744524"/>
    <w:rsid w:val="797B41A3"/>
    <w:rsid w:val="79927E6B"/>
    <w:rsid w:val="79A22173"/>
    <w:rsid w:val="79D0629D"/>
    <w:rsid w:val="7A460876"/>
    <w:rsid w:val="7AE53DC4"/>
    <w:rsid w:val="7CE21BD1"/>
    <w:rsid w:val="7D1961AD"/>
    <w:rsid w:val="7D836F3D"/>
    <w:rsid w:val="7DA87AED"/>
    <w:rsid w:val="7E0331EF"/>
    <w:rsid w:val="7E0D3F64"/>
    <w:rsid w:val="7E1D251F"/>
    <w:rsid w:val="7E9910C5"/>
    <w:rsid w:val="7EC1231F"/>
    <w:rsid w:val="7F0013D2"/>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4558</Words>
  <Characters>5259</Characters>
  <Lines>1</Lines>
  <Paragraphs>1</Paragraphs>
  <TotalTime>0</TotalTime>
  <ScaleCrop>false</ScaleCrop>
  <LinksUpToDate>false</LinksUpToDate>
  <CharactersWithSpaces>5408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2024-05-21T09:34:27Z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B866F3F31DB247DA8091BCE3A3313171_13</vt:lpwstr>
  </property>
</Properties>
</file>