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3802" y="12091"/>
                            <a:ext cx="7955"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20.0T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oDE3vbAAAADAEAAA8A&#10;AAAAAAAAAQAgAAAAIgAAAGRycy9kb3ducmV2LnhtbFBLAQIUABQAAAAIAIdO4kBF+v69hgIAAIoG&#10;AAAOAAAAAAAAAAEAIAAAACoBAABkcnMvZTJvRG9jLnhtbFBLBQYAAAAABgAGAFkBAAAiBgAAA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3802;top:12091;height:2020;width:7955;"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20.0T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卧式低氮冷凝燃油气蒸汽锅炉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"_一、配质清单"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一、配质清单</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_Toc20060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"_二、技术参数："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二、技术参数：</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_Toc20134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3</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"_三、公司简介："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三、公司简介：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_Toc15979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"_四、公司资质与产品展示"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四、公司资质与产品展示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_Toc9567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"_五、蒸汽锅炉简介及特点"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五、 蒸汽锅炉简介及特点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_Toc29994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"_1、系统概述及范围"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1</w:t>
          </w:r>
          <w:r>
            <w:rPr>
              <w:rStyle w:val="14"/>
              <w:rFonts w:hint="eastAsia" w:ascii="黑体" w:hAnsi="黑体" w:eastAsia="黑体" w:cs="黑体"/>
              <w:b/>
              <w:bCs/>
              <w:sz w:val="24"/>
              <w:szCs w:val="32"/>
            </w:rPr>
            <w:t>、系统概述及范围</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_Toc16772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"_2、结构简介"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2</w:t>
          </w:r>
          <w:r>
            <w:rPr>
              <w:rStyle w:val="14"/>
              <w:rFonts w:hint="eastAsia" w:ascii="黑体" w:hAnsi="黑体" w:eastAsia="黑体" w:cs="黑体"/>
              <w:b/>
              <w:bCs/>
              <w:sz w:val="24"/>
              <w:szCs w:val="32"/>
            </w:rPr>
            <w:t>、结构简介</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"_3、性能特点"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3</w:t>
          </w:r>
          <w:r>
            <w:rPr>
              <w:rStyle w:val="14"/>
              <w:rFonts w:hint="eastAsia" w:ascii="黑体" w:hAnsi="黑体" w:eastAsia="黑体" w:cs="黑体"/>
              <w:b/>
              <w:bCs/>
              <w:sz w:val="24"/>
              <w:szCs w:val="32"/>
            </w:rPr>
            <w:t>、性能特点</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_Toc13346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16</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"_4、设计燃料要求："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4、设计燃料要求：</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_Toc7888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"_5、自动控制安全保护"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5、</w:t>
          </w:r>
          <w:r>
            <w:rPr>
              <w:rStyle w:val="14"/>
              <w:rFonts w:hint="eastAsia" w:ascii="黑体" w:hAnsi="黑体" w:eastAsia="黑体" w:cs="黑体"/>
              <w:b/>
              <w:bCs/>
              <w:sz w:val="24"/>
              <w:szCs w:val="32"/>
            </w:rPr>
            <w:t>自动控制安全保护</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_Toc2051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"_6、自动保护装置"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6、</w:t>
          </w:r>
          <w:r>
            <w:rPr>
              <w:rStyle w:val="14"/>
              <w:rFonts w:hint="eastAsia" w:ascii="黑体" w:hAnsi="黑体" w:eastAsia="黑体" w:cs="黑体"/>
              <w:b/>
              <w:bCs/>
              <w:sz w:val="24"/>
              <w:szCs w:val="32"/>
            </w:rPr>
            <w:t>自动保护装置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_Toc7849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lang w:val="en-US" w:eastAsia="zh-CN"/>
            </w:rPr>
            <w:fldChar w:fldCharType="begin"/>
          </w:r>
          <w:r>
            <w:rPr>
              <w:rFonts w:hint="eastAsia" w:ascii="黑体" w:hAnsi="黑体" w:eastAsia="黑体" w:cs="黑体"/>
              <w:b/>
              <w:bCs/>
              <w:color w:val="auto"/>
              <w:sz w:val="24"/>
              <w:szCs w:val="32"/>
              <w:u w:val="none"/>
              <w:lang w:val="en-US" w:eastAsia="zh-CN"/>
            </w:rPr>
            <w:instrText xml:space="preserve"> HYPERLINK \l "_7、主要设计依据" </w:instrText>
          </w:r>
          <w:r>
            <w:rPr>
              <w:rFonts w:hint="eastAsia" w:ascii="黑体" w:hAnsi="黑体" w:eastAsia="黑体" w:cs="黑体"/>
              <w:b/>
              <w:bCs/>
              <w:color w:val="auto"/>
              <w:sz w:val="24"/>
              <w:szCs w:val="32"/>
              <w:u w:val="none"/>
              <w:lang w:val="en-US" w:eastAsia="zh-CN"/>
            </w:rPr>
            <w:fldChar w:fldCharType="separate"/>
          </w:r>
          <w:r>
            <w:rPr>
              <w:rStyle w:val="14"/>
              <w:rFonts w:hint="eastAsia" w:ascii="黑体" w:hAnsi="黑体" w:eastAsia="黑体" w:cs="黑体"/>
              <w:b/>
              <w:bCs/>
              <w:sz w:val="24"/>
              <w:szCs w:val="32"/>
              <w:lang w:val="en-US" w:eastAsia="zh-CN"/>
            </w:rPr>
            <w:t>7</w:t>
          </w:r>
          <w:r>
            <w:rPr>
              <w:rStyle w:val="14"/>
              <w:rFonts w:hint="eastAsia" w:ascii="黑体" w:hAnsi="黑体" w:eastAsia="黑体" w:cs="黑体"/>
              <w:b/>
              <w:bCs/>
              <w:sz w:val="24"/>
              <w:szCs w:val="32"/>
            </w:rPr>
            <w:t>、主要设计依据</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_Toc14886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17</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lang w:val="en-US" w:eastAsia="zh-CN"/>
            </w:rPr>
            <w:fldChar w:fldCharType="end"/>
          </w:r>
        </w:p>
        <w:p>
          <w:pPr>
            <w:pStyle w:val="8"/>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"_六、客户来访"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六、客户来访</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_Toc1742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19</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"_七、设备支持"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七、设备支持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_Toc19245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20</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"_八、安全、质量保证措施"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八、安全、质量保证措施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_Toc10238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"_1、安全保证措施"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1、安全保证措施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_Toc22766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"_2、质量保证措施"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2、质量保证措施</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_Toc24681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21</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"_九、售后服务承诺"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九、售后服务承诺</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_Toc27077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"_1、服务体系"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1、服务体系</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_Toc25148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"_2、售前服务"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2、售前服务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_Toc8038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"_3、售后服务"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3、售后服务</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_Toc1965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"_4、规范化的服务标准"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4、规范化的服务标准</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_Toc30005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"_5、星级服务1、2、3、4模式"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5、星级服务1、2、3、4模式</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_Toc26737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23</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"_6、技术服务与联络"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6、技术服务与联络</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_Toc3701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"_7、组织保证"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7、组织保证</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_Toc17331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24</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9"/>
            <w:tabs>
              <w:tab w:val="right" w:leader="dot" w:pos="9746"/>
            </w:tabs>
            <w:spacing w:line="360" w:lineRule="auto"/>
            <w:ind w:left="0" w:leftChars="0" w:firstLine="0" w:firstLineChars="0"/>
            <w:rPr>
              <w:rFonts w:hint="eastAsia" w:ascii="黑体" w:hAnsi="黑体" w:eastAsia="黑体" w:cs="黑体"/>
              <w:b/>
              <w:bCs/>
              <w:sz w:val="24"/>
              <w:szCs w:val="32"/>
            </w:rPr>
          </w:pPr>
          <w:r>
            <w:rPr>
              <w:rFonts w:hint="eastAsia" w:ascii="黑体" w:hAnsi="黑体" w:eastAsia="黑体" w:cs="黑体"/>
              <w:b/>
              <w:bCs/>
              <w:color w:val="auto"/>
              <w:sz w:val="24"/>
              <w:szCs w:val="32"/>
              <w:u w:val="none"/>
            </w:rPr>
            <w:fldChar w:fldCharType="begin"/>
          </w:r>
          <w:r>
            <w:rPr>
              <w:rFonts w:hint="eastAsia" w:ascii="黑体" w:hAnsi="黑体" w:eastAsia="黑体" w:cs="黑体"/>
              <w:b/>
              <w:bCs/>
              <w:color w:val="auto"/>
              <w:sz w:val="24"/>
              <w:szCs w:val="32"/>
              <w:u w:val="none"/>
            </w:rPr>
            <w:instrText xml:space="preserve"> HYPERLINK \l "_十、厂区环境" </w:instrText>
          </w:r>
          <w:r>
            <w:rPr>
              <w:rFonts w:hint="eastAsia" w:ascii="黑体" w:hAnsi="黑体" w:eastAsia="黑体" w:cs="黑体"/>
              <w:b/>
              <w:bCs/>
              <w:color w:val="auto"/>
              <w:sz w:val="24"/>
              <w:szCs w:val="32"/>
              <w:u w:val="none"/>
            </w:rPr>
            <w:fldChar w:fldCharType="separate"/>
          </w:r>
          <w:r>
            <w:rPr>
              <w:rStyle w:val="14"/>
              <w:rFonts w:hint="eastAsia" w:ascii="黑体" w:hAnsi="黑体" w:eastAsia="黑体" w:cs="黑体"/>
              <w:b/>
              <w:bCs/>
              <w:sz w:val="24"/>
              <w:szCs w:val="32"/>
            </w:rPr>
            <w:t>十、厂区环境</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_Toc31432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25</w:t>
          </w:r>
          <w:r>
            <w:rPr>
              <w:rStyle w:val="14"/>
              <w:rFonts w:hint="eastAsia" w:ascii="黑体" w:hAnsi="黑体" w:eastAsia="黑体" w:cs="黑体"/>
              <w:b/>
              <w:bCs/>
              <w:sz w:val="24"/>
              <w:szCs w:val="32"/>
            </w:rPr>
            <w:fldChar w:fldCharType="end"/>
          </w:r>
          <w:r>
            <w:rPr>
              <w:rFonts w:hint="eastAsia" w:ascii="黑体" w:hAnsi="黑体" w:eastAsia="黑体" w:cs="黑体"/>
              <w:b/>
              <w:bCs/>
              <w:color w:val="auto"/>
              <w:sz w:val="24"/>
              <w:szCs w:val="32"/>
              <w:u w:val="none"/>
            </w:rPr>
            <w:fldChar w:fldCharType="end"/>
          </w:r>
        </w:p>
        <w:p>
          <w:pPr>
            <w:pStyle w:val="8"/>
            <w:tabs>
              <w:tab w:val="right" w:leader="dot" w:pos="9746"/>
            </w:tabs>
            <w:spacing w:line="360" w:lineRule="auto"/>
            <w:rPr>
              <w:rFonts w:hint="eastAsia" w:ascii="黑体" w:hAnsi="黑体" w:eastAsia="黑体" w:cs="黑体"/>
              <w:sz w:val="24"/>
              <w:szCs w:val="32"/>
            </w:rPr>
          </w:pPr>
          <w:r>
            <w:rPr>
              <w:rFonts w:hint="eastAsia" w:ascii="黑体" w:hAnsi="黑体" w:eastAsia="黑体" w:cs="黑体"/>
              <w:b/>
              <w:bCs/>
              <w:color w:val="auto"/>
              <w:kern w:val="2"/>
              <w:sz w:val="24"/>
              <w:szCs w:val="32"/>
              <w:u w:val="none"/>
              <w:lang w:val="en-US" w:eastAsia="zh-CN" w:bidi="ar-SA"/>
            </w:rPr>
            <w:fldChar w:fldCharType="begin"/>
          </w:r>
          <w:r>
            <w:rPr>
              <w:rFonts w:hint="eastAsia" w:ascii="黑体" w:hAnsi="黑体" w:eastAsia="黑体" w:cs="黑体"/>
              <w:b/>
              <w:bCs/>
              <w:color w:val="auto"/>
              <w:kern w:val="2"/>
              <w:sz w:val="24"/>
              <w:szCs w:val="32"/>
              <w:u w:val="none"/>
              <w:lang w:val="en-US" w:eastAsia="zh-CN" w:bidi="ar-SA"/>
            </w:rPr>
            <w:instrText xml:space="preserve"> HYPERLINK \l "_十一、公司寄语" </w:instrText>
          </w:r>
          <w:r>
            <w:rPr>
              <w:rFonts w:hint="eastAsia" w:ascii="黑体" w:hAnsi="黑体" w:eastAsia="黑体" w:cs="黑体"/>
              <w:b/>
              <w:bCs/>
              <w:color w:val="auto"/>
              <w:kern w:val="2"/>
              <w:sz w:val="24"/>
              <w:szCs w:val="32"/>
              <w:u w:val="none"/>
              <w:lang w:val="en-US" w:eastAsia="zh-CN" w:bidi="ar-SA"/>
            </w:rPr>
            <w:fldChar w:fldCharType="separate"/>
          </w:r>
          <w:r>
            <w:rPr>
              <w:rStyle w:val="14"/>
              <w:rFonts w:hint="eastAsia" w:ascii="黑体" w:hAnsi="黑体" w:eastAsia="黑体" w:cs="黑体"/>
              <w:b/>
              <w:bCs/>
              <w:kern w:val="2"/>
              <w:sz w:val="24"/>
              <w:szCs w:val="32"/>
              <w:lang w:val="en-US" w:eastAsia="zh-CN" w:bidi="ar-SA"/>
            </w:rPr>
            <w:t>十一、公司寄语</w:t>
          </w:r>
          <w:r>
            <w:rPr>
              <w:rStyle w:val="14"/>
              <w:rFonts w:hint="eastAsia" w:ascii="黑体" w:hAnsi="黑体" w:eastAsia="黑体" w:cs="黑体"/>
              <w:b/>
              <w:bCs/>
              <w:sz w:val="24"/>
              <w:szCs w:val="32"/>
            </w:rPr>
            <w:tab/>
          </w:r>
          <w:r>
            <w:rPr>
              <w:rStyle w:val="14"/>
              <w:rFonts w:hint="eastAsia" w:ascii="黑体" w:hAnsi="黑体" w:eastAsia="黑体" w:cs="黑体"/>
              <w:b/>
              <w:bCs/>
              <w:sz w:val="24"/>
              <w:szCs w:val="32"/>
            </w:rPr>
            <w:fldChar w:fldCharType="begin"/>
          </w:r>
          <w:r>
            <w:rPr>
              <w:rStyle w:val="14"/>
              <w:rFonts w:hint="eastAsia" w:ascii="黑体" w:hAnsi="黑体" w:eastAsia="黑体" w:cs="黑体"/>
              <w:b/>
              <w:bCs/>
              <w:sz w:val="24"/>
              <w:szCs w:val="32"/>
            </w:rPr>
            <w:instrText xml:space="preserve"> PAGEREF _Toc11023 \h </w:instrText>
          </w:r>
          <w:r>
            <w:rPr>
              <w:rStyle w:val="14"/>
              <w:rFonts w:hint="eastAsia" w:ascii="黑体" w:hAnsi="黑体" w:eastAsia="黑体" w:cs="黑体"/>
              <w:b/>
              <w:bCs/>
              <w:sz w:val="24"/>
              <w:szCs w:val="32"/>
            </w:rPr>
            <w:fldChar w:fldCharType="separate"/>
          </w:r>
          <w:r>
            <w:rPr>
              <w:rStyle w:val="14"/>
              <w:rFonts w:hint="eastAsia" w:ascii="黑体" w:hAnsi="黑体" w:eastAsia="黑体" w:cs="黑体"/>
              <w:b/>
              <w:bCs/>
              <w:sz w:val="24"/>
              <w:szCs w:val="32"/>
            </w:rPr>
            <w:t>28</w:t>
          </w:r>
          <w:r>
            <w:rPr>
              <w:rStyle w:val="14"/>
              <w:rFonts w:hint="eastAsia" w:ascii="黑体" w:hAnsi="黑体" w:eastAsia="黑体" w:cs="黑体"/>
              <w:b/>
              <w:bCs/>
              <w:sz w:val="24"/>
              <w:szCs w:val="32"/>
            </w:rPr>
            <w:fldChar w:fldCharType="end"/>
          </w:r>
          <w:r>
            <w:rPr>
              <w:rFonts w:hint="eastAsia" w:ascii="黑体" w:hAnsi="黑体" w:eastAsia="黑体" w:cs="黑体"/>
              <w:b/>
              <w:bCs/>
              <w:color w:val="auto"/>
              <w:kern w:val="2"/>
              <w:sz w:val="24"/>
              <w:szCs w:val="32"/>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ascii="宋体" w:hAnsi="宋体" w:eastAsiaTheme="minorEastAsia"/>
          <w:b/>
          <w:bCs/>
          <w:sz w:val="32"/>
          <w:szCs w:val="32"/>
        </w:rPr>
      </w:pPr>
      <w:r>
        <w:rPr>
          <w:rFonts w:hint="eastAsia" w:ascii="宋体" w:hAnsi="宋体"/>
          <w:b/>
          <w:bCs/>
          <w:sz w:val="32"/>
          <w:szCs w:val="32"/>
          <w:lang w:val="en-US" w:eastAsia="zh-CN"/>
        </w:rPr>
        <w:t>WNS20.0-1.25-YQ</w:t>
      </w:r>
      <w:r>
        <w:rPr>
          <w:rFonts w:hint="eastAsia" w:ascii="宋体" w:hAnsi="宋体"/>
          <w:b/>
          <w:bCs/>
          <w:sz w:val="32"/>
          <w:szCs w:val="32"/>
        </w:rPr>
        <w:t>卧式</w:t>
      </w:r>
      <w:r>
        <w:rPr>
          <w:rFonts w:hint="eastAsia" w:ascii="宋体" w:hAnsi="宋体"/>
          <w:b/>
          <w:bCs/>
          <w:sz w:val="32"/>
          <w:szCs w:val="32"/>
          <w:lang w:val="en-US" w:eastAsia="zh-CN"/>
        </w:rPr>
        <w:t>低氮冷凝燃油气</w:t>
      </w:r>
      <w:r>
        <w:rPr>
          <w:rFonts w:hint="eastAsia" w:ascii="宋体" w:hAnsi="宋体"/>
          <w:b/>
          <w:bCs/>
          <w:sz w:val="32"/>
          <w:szCs w:val="32"/>
        </w:rPr>
        <w:t>蒸汽锅炉标准配置单</w:t>
      </w:r>
    </w:p>
    <w:tbl>
      <w:tblPr>
        <w:tblStyle w:val="11"/>
        <w:tblW w:w="10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033"/>
        <w:gridCol w:w="3395"/>
        <w:gridCol w:w="707"/>
        <w:gridCol w:w="814"/>
        <w:gridCol w:w="1581"/>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b/>
                <w:bCs/>
                <w:sz w:val="22"/>
                <w:szCs w:val="22"/>
                <w:highlight w:val="none"/>
              </w:rPr>
            </w:pPr>
            <w:bookmarkStart w:id="5" w:name="_Toc20134"/>
            <w:bookmarkStart w:id="6" w:name="_Toc18567"/>
            <w:bookmarkStart w:id="7" w:name="_二、技术参数："/>
            <w:r>
              <w:rPr>
                <w:rFonts w:hint="eastAsia" w:ascii="宋体" w:hAnsi="宋体"/>
                <w:b/>
                <w:bCs/>
                <w:sz w:val="22"/>
                <w:szCs w:val="22"/>
                <w:highlight w:val="none"/>
              </w:rPr>
              <w:t>序号</w:t>
            </w:r>
          </w:p>
        </w:tc>
        <w:tc>
          <w:tcPr>
            <w:tcW w:w="2033"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产品名称</w:t>
            </w:r>
          </w:p>
        </w:tc>
        <w:tc>
          <w:tcPr>
            <w:tcW w:w="3395" w:type="dxa"/>
            <w:noWrap w:val="0"/>
            <w:vAlign w:val="center"/>
          </w:tcPr>
          <w:p>
            <w:pPr>
              <w:jc w:val="center"/>
              <w:rPr>
                <w:rFonts w:hint="default" w:ascii="宋体" w:hAnsi="宋体" w:eastAsiaTheme="minorEastAsia"/>
                <w:b/>
                <w:bCs/>
                <w:sz w:val="22"/>
                <w:szCs w:val="22"/>
                <w:highlight w:val="none"/>
                <w:lang w:val="en-US" w:eastAsia="zh-CN"/>
              </w:rPr>
            </w:pPr>
            <w:r>
              <w:rPr>
                <w:rFonts w:hint="eastAsia" w:ascii="宋体" w:hAnsi="宋体"/>
                <w:b/>
                <w:bCs/>
                <w:sz w:val="22"/>
                <w:szCs w:val="22"/>
                <w:highlight w:val="none"/>
              </w:rPr>
              <w:t>产品型号</w:t>
            </w:r>
            <w:r>
              <w:rPr>
                <w:rFonts w:hint="eastAsia" w:ascii="宋体" w:hAnsi="宋体"/>
                <w:b/>
                <w:bCs/>
                <w:sz w:val="22"/>
                <w:szCs w:val="22"/>
                <w:highlight w:val="none"/>
                <w:lang w:val="en-US" w:eastAsia="zh-CN"/>
              </w:rPr>
              <w:t>/规格</w:t>
            </w:r>
          </w:p>
        </w:tc>
        <w:tc>
          <w:tcPr>
            <w:tcW w:w="707"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单位</w:t>
            </w:r>
          </w:p>
        </w:tc>
        <w:tc>
          <w:tcPr>
            <w:tcW w:w="814"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数量</w:t>
            </w:r>
          </w:p>
        </w:tc>
        <w:tc>
          <w:tcPr>
            <w:tcW w:w="1581"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产地</w:t>
            </w:r>
            <w:r>
              <w:rPr>
                <w:rFonts w:hint="eastAsia" w:ascii="宋体" w:hAnsi="宋体" w:eastAsia="宋体" w:cs="宋体"/>
                <w:b/>
                <w:bCs/>
                <w:sz w:val="22"/>
                <w:szCs w:val="22"/>
                <w:highlight w:val="none"/>
              </w:rPr>
              <w:t>·</w:t>
            </w:r>
            <w:r>
              <w:rPr>
                <w:rFonts w:hint="eastAsia" w:ascii="宋体" w:hAnsi="宋体"/>
                <w:b/>
                <w:bCs/>
                <w:sz w:val="22"/>
                <w:szCs w:val="22"/>
                <w:highlight w:val="none"/>
              </w:rPr>
              <w:t>品牌</w:t>
            </w:r>
          </w:p>
        </w:tc>
        <w:tc>
          <w:tcPr>
            <w:tcW w:w="1566" w:type="dxa"/>
            <w:noWrap w:val="0"/>
            <w:vAlign w:val="center"/>
          </w:tcPr>
          <w:p>
            <w:pPr>
              <w:jc w:val="center"/>
              <w:rPr>
                <w:rFonts w:hint="eastAsia" w:ascii="宋体" w:hAnsi="宋体"/>
                <w:b/>
                <w:bCs/>
                <w:sz w:val="22"/>
                <w:szCs w:val="22"/>
                <w:highlight w:val="none"/>
              </w:rPr>
            </w:pPr>
            <w:r>
              <w:rPr>
                <w:rFonts w:hint="eastAsia" w:ascii="宋体" w:hAnsi="宋体"/>
                <w:b/>
                <w:bCs/>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一</w:t>
            </w:r>
          </w:p>
        </w:tc>
        <w:tc>
          <w:tcPr>
            <w:tcW w:w="2033"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lang w:val="en-US" w:eastAsia="zh-CN"/>
              </w:rPr>
              <w:t>锅炉</w:t>
            </w:r>
            <w:r>
              <w:rPr>
                <w:rFonts w:hint="eastAsia" w:ascii="宋体" w:hAnsi="宋体"/>
                <w:sz w:val="22"/>
                <w:szCs w:val="22"/>
                <w:highlight w:val="none"/>
              </w:rPr>
              <w:t>主机</w:t>
            </w:r>
          </w:p>
        </w:tc>
        <w:tc>
          <w:tcPr>
            <w:tcW w:w="3395" w:type="dxa"/>
            <w:noWrap w:val="0"/>
            <w:vAlign w:val="center"/>
          </w:tcPr>
          <w:p>
            <w:pPr>
              <w:spacing w:line="300" w:lineRule="exact"/>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r>
              <w:rPr>
                <w:rFonts w:hint="eastAsia" w:ascii="宋体" w:hAnsi="宋体"/>
                <w:sz w:val="22"/>
                <w:szCs w:val="22"/>
                <w:highlight w:val="none"/>
                <w:lang w:val="en-US" w:eastAsia="zh-CN"/>
              </w:rPr>
              <w:t xml:space="preserve">  20t/h  1.25Mpa</w:t>
            </w:r>
          </w:p>
        </w:tc>
        <w:tc>
          <w:tcPr>
            <w:tcW w:w="707"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eastAsiaTheme="minorEastAsia"/>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default" w:ascii="宋体" w:hAnsi="宋体" w:eastAsiaTheme="minorEastAsia"/>
                <w:sz w:val="22"/>
                <w:szCs w:val="22"/>
                <w:highlight w:val="none"/>
                <w:lang w:val="en-US" w:eastAsia="zh-CN"/>
              </w:rPr>
            </w:pPr>
            <w:r>
              <w:rPr>
                <w:rFonts w:hint="eastAsia" w:ascii="宋体" w:hAnsi="宋体"/>
                <w:sz w:val="22"/>
                <w:szCs w:val="22"/>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二</w:t>
            </w:r>
          </w:p>
        </w:tc>
        <w:tc>
          <w:tcPr>
            <w:tcW w:w="2033" w:type="dxa"/>
            <w:noWrap w:val="0"/>
            <w:vAlign w:val="center"/>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冷凝器</w:t>
            </w:r>
          </w:p>
        </w:tc>
        <w:tc>
          <w:tcPr>
            <w:tcW w:w="3395" w:type="dxa"/>
            <w:noWrap w:val="0"/>
            <w:vAlign w:val="center"/>
          </w:tcPr>
          <w:p>
            <w:pPr>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20T</w:t>
            </w: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default" w:ascii="宋体" w:hAnsi="宋体" w:eastAsia="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三</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烟气</w:t>
            </w:r>
            <w:r>
              <w:rPr>
                <w:rFonts w:hint="eastAsia" w:ascii="宋体" w:hAnsi="宋体"/>
                <w:sz w:val="22"/>
                <w:szCs w:val="22"/>
                <w:highlight w:val="none"/>
              </w:rPr>
              <w:t>节能器</w:t>
            </w:r>
          </w:p>
        </w:tc>
        <w:tc>
          <w:tcPr>
            <w:tcW w:w="3395"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4"/>
                <w:szCs w:val="24"/>
                <w:highlight w:val="none"/>
                <w:lang w:val="en-US" w:eastAsia="zh-CN"/>
              </w:rPr>
              <w:t>20T</w:t>
            </w: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四</w:t>
            </w:r>
          </w:p>
        </w:tc>
        <w:tc>
          <w:tcPr>
            <w:tcW w:w="2033"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rPr>
              <w:t>燃烧器</w:t>
            </w:r>
          </w:p>
        </w:tc>
        <w:tc>
          <w:tcPr>
            <w:tcW w:w="3395" w:type="dxa"/>
            <w:noWrap w:val="0"/>
            <w:vAlign w:val="center"/>
          </w:tcPr>
          <w:p>
            <w:pPr>
              <w:jc w:val="center"/>
              <w:rPr>
                <w:rFonts w:hint="default" w:ascii="宋体" w:hAnsi="宋体" w:cs="Times New Roman" w:eastAsiaTheme="minorEastAsia"/>
                <w:spacing w:val="-20"/>
                <w:kern w:val="2"/>
                <w:sz w:val="22"/>
                <w:szCs w:val="22"/>
                <w:highlight w:val="none"/>
                <w:lang w:val="en-US" w:eastAsia="zh-CN" w:bidi="ar-SA"/>
              </w:rPr>
            </w:pPr>
            <w:r>
              <w:rPr>
                <w:rFonts w:hint="eastAsia" w:ascii="宋体" w:hAnsi="宋体" w:cs="宋体"/>
                <w:kern w:val="2"/>
                <w:sz w:val="22"/>
                <w:szCs w:val="22"/>
                <w:lang w:val="en-US" w:eastAsia="zh-CN" w:bidi="ar-SA"/>
              </w:rPr>
              <w:t>排放低氮30毫克</w:t>
            </w:r>
          </w:p>
        </w:tc>
        <w:tc>
          <w:tcPr>
            <w:tcW w:w="707"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cs="Times New Roman" w:eastAsiaTheme="minorEastAsia"/>
                <w:kern w:val="2"/>
                <w:sz w:val="22"/>
                <w:szCs w:val="22"/>
                <w:highlight w:val="none"/>
                <w:lang w:val="en-US" w:eastAsia="zh-CN" w:bidi="ar-SA"/>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default" w:ascii="宋体" w:hAnsi="宋体" w:cs="Times New Roman" w:eastAsiaTheme="minorEastAsia"/>
                <w:kern w:val="2"/>
                <w:sz w:val="22"/>
                <w:szCs w:val="22"/>
                <w:highlight w:val="none"/>
                <w:lang w:val="en-US" w:eastAsia="zh-CN" w:bidi="ar-SA"/>
              </w:rPr>
            </w:pPr>
            <w:r>
              <w:rPr>
                <w:rFonts w:hint="eastAsia" w:ascii="宋体" w:hAnsi="宋体"/>
                <w:sz w:val="22"/>
                <w:szCs w:val="22"/>
                <w:highlight w:val="none"/>
                <w:lang w:val="en-US" w:eastAsia="zh-CN"/>
              </w:rPr>
              <w:t>20T标配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五</w:t>
            </w:r>
          </w:p>
        </w:tc>
        <w:tc>
          <w:tcPr>
            <w:tcW w:w="2033" w:type="dxa"/>
            <w:noWrap w:val="0"/>
            <w:vAlign w:val="center"/>
          </w:tcPr>
          <w:p>
            <w:pPr>
              <w:spacing w:line="300" w:lineRule="exact"/>
              <w:jc w:val="center"/>
              <w:rPr>
                <w:rFonts w:hint="eastAsia" w:ascii="宋体" w:hAnsi="宋体" w:cs="Times New Roman" w:eastAsiaTheme="minorEastAsia"/>
                <w:kern w:val="2"/>
                <w:sz w:val="22"/>
                <w:szCs w:val="22"/>
                <w:highlight w:val="none"/>
                <w:lang w:val="en-US" w:eastAsia="zh-CN" w:bidi="ar-SA"/>
              </w:rPr>
            </w:pPr>
            <w:r>
              <w:rPr>
                <w:rFonts w:hint="eastAsia" w:ascii="宋体" w:hAnsi="宋体"/>
                <w:sz w:val="22"/>
                <w:szCs w:val="22"/>
                <w:highlight w:val="none"/>
              </w:rPr>
              <w:t>控制</w:t>
            </w:r>
            <w:r>
              <w:rPr>
                <w:rFonts w:hint="eastAsia" w:ascii="宋体" w:hAnsi="宋体"/>
                <w:sz w:val="22"/>
                <w:szCs w:val="22"/>
                <w:highlight w:val="none"/>
                <w:lang w:val="en-US" w:eastAsia="zh-CN"/>
              </w:rPr>
              <w:t>系统</w:t>
            </w:r>
          </w:p>
        </w:tc>
        <w:tc>
          <w:tcPr>
            <w:tcW w:w="3395" w:type="dxa"/>
            <w:noWrap w:val="0"/>
            <w:vAlign w:val="center"/>
          </w:tcPr>
          <w:p>
            <w:pPr>
              <w:jc w:val="center"/>
              <w:rPr>
                <w:rFonts w:hint="default" w:ascii="宋体" w:hAnsi="宋体" w:cs="Times New Roman" w:eastAsiaTheme="minorEastAsia"/>
                <w:kern w:val="2"/>
                <w:sz w:val="22"/>
                <w:szCs w:val="22"/>
                <w:highlight w:val="none"/>
                <w:lang w:val="en-US" w:eastAsia="zh-CN" w:bidi="ar-SA"/>
              </w:rPr>
            </w:pPr>
            <w:r>
              <w:rPr>
                <w:rFonts w:hint="eastAsia" w:ascii="宋体" w:hAnsi="宋体"/>
                <w:sz w:val="22"/>
                <w:szCs w:val="22"/>
                <w:highlight w:val="none"/>
                <w:lang w:val="en-US" w:eastAsia="zh-CN"/>
              </w:rPr>
              <w:t>触摸彩屏/HXDK-10T</w:t>
            </w:r>
          </w:p>
        </w:tc>
        <w:tc>
          <w:tcPr>
            <w:tcW w:w="707"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sz w:val="22"/>
                <w:szCs w:val="22"/>
                <w:highlight w:val="none"/>
              </w:rPr>
              <w:t>六</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不锈钢给水泵</w:t>
            </w:r>
          </w:p>
        </w:tc>
        <w:tc>
          <w:tcPr>
            <w:tcW w:w="3395" w:type="dxa"/>
            <w:noWrap w:val="0"/>
            <w:vAlign w:val="center"/>
          </w:tcPr>
          <w:p>
            <w:pPr>
              <w:widowControl/>
              <w:spacing w:line="240" w:lineRule="auto"/>
              <w:ind w:firstLine="148" w:firstLineChars="62"/>
              <w:jc w:val="center"/>
              <w:textAlignment w:val="center"/>
              <w:rPr>
                <w:rFonts w:hint="default" w:ascii="宋体" w:hAnsi="宋体" w:eastAsia="宋体" w:cstheme="minorBidi"/>
                <w:spacing w:val="-20"/>
                <w:kern w:val="2"/>
                <w:sz w:val="22"/>
                <w:szCs w:val="22"/>
                <w:highlight w:val="none"/>
                <w:lang w:val="en-US" w:eastAsia="zh-CN" w:bidi="ar-SA"/>
              </w:rPr>
            </w:pPr>
            <w:r>
              <w:rPr>
                <w:rFonts w:hint="eastAsia" w:ascii="宋体" w:hAnsi="宋体"/>
                <w:sz w:val="24"/>
                <w:szCs w:val="24"/>
                <w:highlight w:val="none"/>
                <w:lang w:val="en-US" w:eastAsia="zh-CN"/>
              </w:rPr>
              <w:t>20T</w:t>
            </w: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台</w:t>
            </w:r>
          </w:p>
        </w:tc>
        <w:tc>
          <w:tcPr>
            <w:tcW w:w="814"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购销配套</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七</w:t>
            </w:r>
          </w:p>
        </w:tc>
        <w:tc>
          <w:tcPr>
            <w:tcW w:w="2033"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lang w:val="en-US" w:eastAsia="zh-CN"/>
              </w:rPr>
              <w:t>分气缸</w:t>
            </w:r>
          </w:p>
        </w:tc>
        <w:tc>
          <w:tcPr>
            <w:tcW w:w="3395"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4"/>
                <w:szCs w:val="24"/>
                <w:highlight w:val="none"/>
                <w:lang w:val="en-US" w:eastAsia="zh-CN"/>
              </w:rPr>
              <w:t>20T</w:t>
            </w: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lang w:eastAsia="zh-CN"/>
              </w:rPr>
              <w:t>台</w:t>
            </w:r>
          </w:p>
        </w:tc>
        <w:tc>
          <w:tcPr>
            <w:tcW w:w="814"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lang w:eastAsia="zh-CN"/>
              </w:rPr>
              <w:t>1</w:t>
            </w:r>
          </w:p>
        </w:tc>
        <w:tc>
          <w:tcPr>
            <w:tcW w:w="1581"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rPr>
              <w:t>八</w:t>
            </w:r>
          </w:p>
        </w:tc>
        <w:tc>
          <w:tcPr>
            <w:tcW w:w="2033" w:type="dxa"/>
            <w:noWrap w:val="0"/>
            <w:vAlign w:val="center"/>
          </w:tcPr>
          <w:p>
            <w:pPr>
              <w:spacing w:line="300" w:lineRule="exact"/>
              <w:jc w:val="center"/>
              <w:rPr>
                <w:rFonts w:hint="eastAsia" w:ascii="宋体" w:hAnsi="宋体" w:eastAsia="宋体" w:cs="Times New Roman"/>
                <w:kern w:val="2"/>
                <w:sz w:val="22"/>
                <w:szCs w:val="22"/>
                <w:highlight w:val="none"/>
                <w:lang w:val="en-US" w:eastAsia="zh-CN" w:bidi="ar-SA"/>
              </w:rPr>
            </w:pPr>
            <w:r>
              <w:rPr>
                <w:rFonts w:hint="eastAsia" w:ascii="宋体" w:hAnsi="宋体"/>
                <w:sz w:val="22"/>
                <w:szCs w:val="22"/>
                <w:highlight w:val="none"/>
                <w:lang w:val="en-US" w:eastAsia="zh-CN"/>
              </w:rPr>
              <w:t>水处理</w:t>
            </w:r>
          </w:p>
        </w:tc>
        <w:tc>
          <w:tcPr>
            <w:tcW w:w="3395"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rPr>
              <w:t>SCL-</w:t>
            </w:r>
            <w:r>
              <w:rPr>
                <w:rFonts w:hint="eastAsia" w:ascii="宋体" w:hAnsi="宋体"/>
                <w:sz w:val="22"/>
                <w:szCs w:val="22"/>
                <w:highlight w:val="none"/>
                <w:lang w:val="en-US" w:eastAsia="zh-CN"/>
              </w:rPr>
              <w:t>10.0T/h</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default" w:ascii="宋体" w:hAnsi="宋体" w:eastAsia="宋体" w:cs="Times New Roman"/>
                <w:kern w:val="2"/>
                <w:sz w:val="22"/>
                <w:szCs w:val="22"/>
                <w:highlight w:val="none"/>
                <w:lang w:val="en-US" w:eastAsia="zh-CN" w:bidi="ar-SA"/>
              </w:rPr>
            </w:pPr>
            <w:r>
              <w:rPr>
                <w:rFonts w:hint="eastAsia" w:ascii="宋体" w:hAnsi="宋体"/>
                <w:sz w:val="22"/>
                <w:szCs w:val="22"/>
                <w:highlight w:val="none"/>
                <w:lang w:val="en-US" w:eastAsia="zh-CN"/>
              </w:rPr>
              <w:t>河南润新</w:t>
            </w:r>
          </w:p>
        </w:tc>
        <w:tc>
          <w:tcPr>
            <w:tcW w:w="1566"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sz w:val="22"/>
                <w:szCs w:val="22"/>
                <w:highlight w:val="none"/>
              </w:rPr>
              <w:t>九</w:t>
            </w:r>
          </w:p>
        </w:tc>
        <w:tc>
          <w:tcPr>
            <w:tcW w:w="2033"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烟囱</w:t>
            </w:r>
          </w:p>
        </w:tc>
        <w:tc>
          <w:tcPr>
            <w:tcW w:w="3395"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4"/>
                <w:szCs w:val="24"/>
                <w:highlight w:val="none"/>
                <w:lang w:val="en-US" w:eastAsia="zh-CN"/>
              </w:rPr>
              <w:t>20T</w:t>
            </w:r>
            <w:r>
              <w:rPr>
                <w:rFonts w:hint="eastAsia" w:ascii="宋体" w:hAnsi="宋体"/>
                <w:sz w:val="24"/>
                <w:szCs w:val="24"/>
                <w:highlight w:val="none"/>
                <w:lang w:eastAsia="zh-CN"/>
              </w:rPr>
              <w:t>配套</w:t>
            </w:r>
          </w:p>
        </w:tc>
        <w:tc>
          <w:tcPr>
            <w:tcW w:w="707" w:type="dxa"/>
            <w:noWrap w:val="0"/>
            <w:vAlign w:val="center"/>
          </w:tcPr>
          <w:p>
            <w:pPr>
              <w:spacing w:line="300" w:lineRule="exact"/>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米</w:t>
            </w:r>
          </w:p>
        </w:tc>
        <w:tc>
          <w:tcPr>
            <w:tcW w:w="814" w:type="dxa"/>
            <w:noWrap w:val="0"/>
            <w:vAlign w:val="center"/>
          </w:tcPr>
          <w:p>
            <w:pPr>
              <w:spacing w:line="300" w:lineRule="exact"/>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spacing w:line="300" w:lineRule="exact"/>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十</w:t>
            </w:r>
          </w:p>
        </w:tc>
        <w:tc>
          <w:tcPr>
            <w:tcW w:w="2033"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烟道弯头</w:t>
            </w:r>
          </w:p>
        </w:tc>
        <w:tc>
          <w:tcPr>
            <w:tcW w:w="3395"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20T配套</w:t>
            </w:r>
          </w:p>
        </w:tc>
        <w:tc>
          <w:tcPr>
            <w:tcW w:w="70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个</w:t>
            </w:r>
          </w:p>
        </w:tc>
        <w:tc>
          <w:tcPr>
            <w:tcW w:w="814"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1</w:t>
            </w:r>
          </w:p>
        </w:tc>
        <w:tc>
          <w:tcPr>
            <w:tcW w:w="1581"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河南恒信</w:t>
            </w:r>
          </w:p>
        </w:tc>
        <w:tc>
          <w:tcPr>
            <w:tcW w:w="1566" w:type="dxa"/>
            <w:noWrap w:val="0"/>
            <w:vAlign w:val="center"/>
          </w:tcPr>
          <w:p>
            <w:pPr>
              <w:jc w:val="center"/>
              <w:rPr>
                <w:rFonts w:hint="eastAsia" w:ascii="宋体" w:hAnsi="宋体" w:eastAsia="宋体"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宋体"/>
                <w:sz w:val="22"/>
                <w:szCs w:val="22"/>
                <w:highlight w:val="none"/>
                <w:lang w:eastAsia="zh-CN"/>
              </w:rPr>
            </w:pPr>
            <w:r>
              <w:rPr>
                <w:rFonts w:hint="eastAsia" w:ascii="宋体" w:hAnsi="宋体" w:cstheme="minorBidi"/>
                <w:kern w:val="2"/>
                <w:sz w:val="22"/>
                <w:szCs w:val="22"/>
                <w:highlight w:val="none"/>
                <w:lang w:val="en-US" w:eastAsia="zh-CN" w:bidi="ar-SA"/>
              </w:rPr>
              <w:t>十一</w:t>
            </w:r>
          </w:p>
        </w:tc>
        <w:tc>
          <w:tcPr>
            <w:tcW w:w="8530" w:type="dxa"/>
            <w:gridSpan w:val="5"/>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配套仪表阀门</w:t>
            </w:r>
          </w:p>
        </w:tc>
        <w:tc>
          <w:tcPr>
            <w:tcW w:w="1566" w:type="dxa"/>
            <w:noWrap w:val="0"/>
            <w:vAlign w:val="center"/>
          </w:tcPr>
          <w:p>
            <w:pPr>
              <w:jc w:val="center"/>
              <w:rPr>
                <w:rFonts w:hint="eastAsia" w:ascii="宋体" w:hAnsi="宋体"/>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三通旋塞阀</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HX-16/DN15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河南</w:t>
            </w:r>
            <w:r>
              <w:rPr>
                <w:rFonts w:hint="eastAsia" w:ascii="宋体" w:hAnsi="宋体"/>
                <w:sz w:val="22"/>
                <w:szCs w:val="22"/>
                <w:highlight w:val="none"/>
              </w:rPr>
              <w:t>郑州</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2033"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压力表</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Y-150/0~2.5MPa   1.6级</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杭州富阳</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3</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压力表存水弯管</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厂标/DN15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4</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压力控制器</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KP-35/1.0~1.6Mpa</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丹弗斯</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5</w:t>
            </w:r>
          </w:p>
        </w:tc>
        <w:tc>
          <w:tcPr>
            <w:tcW w:w="2033"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 xml:space="preserve">截止阀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PN1.6/DN250</w:t>
            </w:r>
          </w:p>
        </w:tc>
        <w:tc>
          <w:tcPr>
            <w:tcW w:w="707"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6</w:t>
            </w:r>
          </w:p>
        </w:tc>
        <w:tc>
          <w:tcPr>
            <w:tcW w:w="2033" w:type="dxa"/>
            <w:noWrap w:val="0"/>
            <w:vAlign w:val="center"/>
          </w:tcPr>
          <w:p>
            <w:pPr>
              <w:ind w:firstLine="220" w:firstLineChars="100"/>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 xml:space="preserve">截止阀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PN1.6/DN50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4"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1</w:t>
            </w:r>
          </w:p>
        </w:tc>
        <w:tc>
          <w:tcPr>
            <w:tcW w:w="1581"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7</w:t>
            </w:r>
          </w:p>
        </w:tc>
        <w:tc>
          <w:tcPr>
            <w:tcW w:w="2033" w:type="dxa"/>
            <w:noWrap w:val="0"/>
            <w:vAlign w:val="center"/>
          </w:tcPr>
          <w:p>
            <w:pPr>
              <w:ind w:firstLine="220" w:firstLineChars="100"/>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 xml:space="preserve">安全阀 </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A48H-16C PN1.6/DN80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8</w:t>
            </w:r>
          </w:p>
        </w:tc>
        <w:tc>
          <w:tcPr>
            <w:tcW w:w="2033" w:type="dxa"/>
            <w:noWrap w:val="0"/>
            <w:vAlign w:val="center"/>
          </w:tcPr>
          <w:p>
            <w:pPr>
              <w:jc w:val="center"/>
              <w:rPr>
                <w:rFonts w:hint="default" w:ascii="宋体" w:hAnsi="宋体" w:eastAsia="宋体" w:cstheme="minorBidi"/>
                <w:kern w:val="2"/>
                <w:sz w:val="22"/>
                <w:szCs w:val="22"/>
                <w:highlight w:val="none"/>
                <w:lang w:val="en-US" w:eastAsia="zh-CN" w:bidi="ar-SA"/>
              </w:rPr>
            </w:pPr>
            <w:r>
              <w:rPr>
                <w:rFonts w:hint="eastAsia" w:ascii="宋体" w:hAnsi="宋体"/>
                <w:sz w:val="22"/>
                <w:szCs w:val="22"/>
                <w:highlight w:val="none"/>
                <w:lang w:eastAsia="zh-CN"/>
              </w:rPr>
              <w:t>对夹式</w:t>
            </w:r>
            <w:r>
              <w:rPr>
                <w:rFonts w:hint="eastAsia" w:ascii="宋体" w:hAnsi="宋体"/>
                <w:sz w:val="22"/>
                <w:szCs w:val="22"/>
                <w:highlight w:val="none"/>
              </w:rPr>
              <w:t xml:space="preserve">止回阀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H14W-16P PN1.6/DN50</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个</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郑州吉通</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9</w:t>
            </w:r>
          </w:p>
        </w:tc>
        <w:tc>
          <w:tcPr>
            <w:tcW w:w="2033"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球式</w:t>
            </w:r>
            <w:r>
              <w:rPr>
                <w:rFonts w:hint="eastAsia" w:ascii="宋体" w:hAnsi="宋体"/>
                <w:sz w:val="22"/>
                <w:szCs w:val="22"/>
                <w:highlight w:val="none"/>
              </w:rPr>
              <w:t xml:space="preserve">排污阀 </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PQ41F-16 PN1.6/DN50</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10</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水位计</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DSKJ-IV/PN1.6/DN25</w:t>
            </w:r>
          </w:p>
        </w:tc>
        <w:tc>
          <w:tcPr>
            <w:tcW w:w="707" w:type="dxa"/>
            <w:noWrap w:val="0"/>
            <w:vAlign w:val="center"/>
          </w:tcPr>
          <w:p>
            <w:pPr>
              <w:jc w:val="center"/>
              <w:rPr>
                <w:rFonts w:hint="eastAsia" w:ascii="宋体" w:hAnsi="宋体" w:eastAsia="宋体" w:cstheme="minorBidi"/>
                <w:kern w:val="2"/>
                <w:sz w:val="22"/>
                <w:szCs w:val="22"/>
                <w:highlight w:val="none"/>
                <w:lang w:val="en-US" w:eastAsia="zh-CN" w:bidi="ar-SA"/>
              </w:rPr>
            </w:pPr>
            <w:r>
              <w:rPr>
                <w:rFonts w:hint="eastAsia" w:ascii="宋体" w:hAnsi="宋体"/>
                <w:sz w:val="22"/>
                <w:szCs w:val="22"/>
                <w:highlight w:val="none"/>
                <w:lang w:val="en-US" w:eastAsia="zh-CN"/>
              </w:rPr>
              <w:t>件</w:t>
            </w:r>
          </w:p>
        </w:tc>
        <w:tc>
          <w:tcPr>
            <w:tcW w:w="814"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2</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11</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水位控制器</w:t>
            </w:r>
          </w:p>
        </w:tc>
        <w:tc>
          <w:tcPr>
            <w:tcW w:w="3395" w:type="dxa"/>
            <w:noWrap w:val="0"/>
            <w:vAlign w:val="center"/>
          </w:tcPr>
          <w:p>
            <w:pPr>
              <w:spacing w:line="300" w:lineRule="exact"/>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UQK-350/PN1.6/DN25</w:t>
            </w:r>
          </w:p>
        </w:tc>
        <w:tc>
          <w:tcPr>
            <w:tcW w:w="707"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件</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w:t>
            </w:r>
          </w:p>
        </w:tc>
        <w:tc>
          <w:tcPr>
            <w:tcW w:w="15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eastAsia="zh-CN"/>
              </w:rPr>
              <w:t>郑州中华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12</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球阀</w:t>
            </w:r>
          </w:p>
        </w:tc>
        <w:tc>
          <w:tcPr>
            <w:tcW w:w="3395" w:type="dxa"/>
            <w:noWrap w:val="0"/>
            <w:vAlign w:val="center"/>
          </w:tcPr>
          <w:p>
            <w:pPr>
              <w:spacing w:line="300" w:lineRule="exact"/>
              <w:jc w:val="center"/>
              <w:rPr>
                <w:rFonts w:hint="default" w:ascii="宋体" w:hAnsi="宋体"/>
                <w:sz w:val="22"/>
                <w:szCs w:val="22"/>
                <w:highlight w:val="none"/>
                <w:lang w:val="en-US" w:eastAsia="zh-CN"/>
              </w:rPr>
            </w:pPr>
            <w:r>
              <w:rPr>
                <w:rFonts w:hint="eastAsia" w:ascii="宋体" w:hAnsi="宋体"/>
                <w:sz w:val="22"/>
                <w:szCs w:val="22"/>
                <w:highlight w:val="none"/>
                <w:lang w:val="en-US" w:eastAsia="zh-CN"/>
              </w:rPr>
              <w:t>J41H-16C PN1.6/DN25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台</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4</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rPr>
              <w:t>郑州宇明</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681" w:type="dxa"/>
            <w:noWrap w:val="0"/>
            <w:vAlign w:val="center"/>
          </w:tcPr>
          <w:p>
            <w:pPr>
              <w:jc w:val="center"/>
              <w:rPr>
                <w:rFonts w:hint="eastAsia" w:ascii="宋体" w:hAnsi="宋体"/>
                <w:sz w:val="22"/>
                <w:szCs w:val="22"/>
                <w:highlight w:val="none"/>
              </w:rPr>
            </w:pPr>
            <w:r>
              <w:rPr>
                <w:rFonts w:hint="eastAsia" w:ascii="宋体" w:hAnsi="宋体" w:cstheme="minorBidi"/>
                <w:kern w:val="2"/>
                <w:sz w:val="22"/>
                <w:szCs w:val="22"/>
                <w:highlight w:val="none"/>
                <w:lang w:val="en-US" w:eastAsia="zh-CN" w:bidi="ar-SA"/>
              </w:rPr>
              <w:t>13</w:t>
            </w:r>
          </w:p>
        </w:tc>
        <w:tc>
          <w:tcPr>
            <w:tcW w:w="2033"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螺丝螺母</w:t>
            </w:r>
          </w:p>
        </w:tc>
        <w:tc>
          <w:tcPr>
            <w:tcW w:w="3395"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M14×35</w:t>
            </w:r>
          </w:p>
        </w:tc>
        <w:tc>
          <w:tcPr>
            <w:tcW w:w="707"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套</w:t>
            </w:r>
          </w:p>
        </w:tc>
        <w:tc>
          <w:tcPr>
            <w:tcW w:w="814"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20</w:t>
            </w:r>
          </w:p>
        </w:tc>
        <w:tc>
          <w:tcPr>
            <w:tcW w:w="1581"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河南郑州</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cstheme="minorBidi"/>
                <w:kern w:val="2"/>
                <w:sz w:val="22"/>
                <w:szCs w:val="22"/>
                <w:highlight w:val="none"/>
                <w:lang w:val="en-US" w:eastAsia="zh-CN" w:bidi="ar-SA"/>
              </w:rPr>
              <w:t>烟囱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jc w:val="center"/>
              <w:rPr>
                <w:rFonts w:hint="default" w:ascii="宋体" w:hAnsi="宋体" w:eastAsiaTheme="minorEastAsia" w:cstheme="minorBidi"/>
                <w:kern w:val="2"/>
                <w:sz w:val="22"/>
                <w:szCs w:val="22"/>
                <w:highlight w:val="none"/>
                <w:lang w:val="en-US" w:eastAsia="zh-CN" w:bidi="ar-SA"/>
              </w:rPr>
            </w:pPr>
            <w:r>
              <w:rPr>
                <w:rFonts w:hint="eastAsia" w:ascii="宋体" w:hAnsi="宋体" w:eastAsiaTheme="minorEastAsia" w:cstheme="minorBidi"/>
                <w:kern w:val="2"/>
                <w:sz w:val="22"/>
                <w:szCs w:val="22"/>
                <w:highlight w:val="none"/>
                <w:lang w:val="en-US" w:eastAsia="zh-CN" w:bidi="ar-SA"/>
              </w:rPr>
              <w:t>十二</w:t>
            </w:r>
          </w:p>
        </w:tc>
        <w:tc>
          <w:tcPr>
            <w:tcW w:w="8530" w:type="dxa"/>
            <w:gridSpan w:val="5"/>
            <w:noWrap w:val="0"/>
            <w:vAlign w:val="center"/>
          </w:tcPr>
          <w:p>
            <w:pPr>
              <w:jc w:val="center"/>
              <w:rPr>
                <w:rFonts w:hint="eastAsia" w:ascii="宋体" w:hAnsi="宋体" w:eastAsiaTheme="minorEastAsia" w:cstheme="minorBidi"/>
                <w:kern w:val="2"/>
                <w:sz w:val="22"/>
                <w:szCs w:val="22"/>
                <w:highlight w:val="none"/>
                <w:lang w:val="en-US" w:eastAsia="zh-CN" w:bidi="ar-SA"/>
              </w:rPr>
            </w:pPr>
            <w:r>
              <w:rPr>
                <w:rFonts w:hint="eastAsia" w:ascii="宋体" w:hAnsi="宋体"/>
                <w:sz w:val="22"/>
                <w:szCs w:val="22"/>
                <w:highlight w:val="none"/>
                <w:lang w:val="en-US" w:eastAsia="zh-CN"/>
              </w:rPr>
              <w:t>锅炉产品出厂</w:t>
            </w:r>
            <w:r>
              <w:rPr>
                <w:rFonts w:hint="eastAsia" w:ascii="宋体" w:hAnsi="宋体"/>
                <w:sz w:val="22"/>
                <w:szCs w:val="22"/>
                <w:highlight w:val="none"/>
                <w:lang w:eastAsia="zh-CN"/>
              </w:rPr>
              <w:t>随机技术资料</w:t>
            </w:r>
          </w:p>
        </w:tc>
        <w:tc>
          <w:tcPr>
            <w:tcW w:w="1566" w:type="dxa"/>
            <w:noWrap w:val="0"/>
            <w:vAlign w:val="center"/>
          </w:tcPr>
          <w:p>
            <w:pPr>
              <w:jc w:val="center"/>
              <w:rPr>
                <w:rFonts w:hint="eastAsia" w:ascii="宋体" w:hAnsi="宋体" w:eastAsiaTheme="minorEastAsia" w:cstheme="minorBidi"/>
                <w:kern w:val="2"/>
                <w:sz w:val="22"/>
                <w:szCs w:val="22"/>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1</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产品质量证明书</w:t>
            </w:r>
          </w:p>
        </w:tc>
        <w:tc>
          <w:tcPr>
            <w:tcW w:w="3395" w:type="dxa"/>
            <w:noWrap w:val="0"/>
            <w:vAlign w:val="center"/>
          </w:tcPr>
          <w:p>
            <w:pPr>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2</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安装使用说明书</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eastAsia" w:ascii="宋体" w:hAnsi="宋体" w:eastAsiaTheme="minorEastAsia"/>
                <w:sz w:val="22"/>
                <w:szCs w:val="22"/>
                <w:lang w:val="en-US" w:eastAsia="zh-CN"/>
              </w:rPr>
            </w:pPr>
            <w:r>
              <w:rPr>
                <w:rFonts w:hint="eastAsia" w:ascii="宋体" w:hAnsi="宋体"/>
                <w:sz w:val="22"/>
                <w:szCs w:val="22"/>
                <w:lang w:val="en-US" w:eastAsia="zh-CN"/>
              </w:rPr>
              <w:t>3</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制造许可证复印件</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4</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产品总装图</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5</w:t>
            </w:r>
          </w:p>
        </w:tc>
        <w:tc>
          <w:tcPr>
            <w:tcW w:w="2033"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产品本体图</w:t>
            </w:r>
          </w:p>
        </w:tc>
        <w:tc>
          <w:tcPr>
            <w:tcW w:w="339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6</w:t>
            </w:r>
          </w:p>
        </w:tc>
        <w:tc>
          <w:tcPr>
            <w:tcW w:w="2033" w:type="dxa"/>
            <w:noWrap w:val="0"/>
            <w:vAlign w:val="center"/>
          </w:tcPr>
          <w:p>
            <w:pPr>
              <w:spacing w:line="300" w:lineRule="exact"/>
              <w:jc w:val="center"/>
              <w:rPr>
                <w:rFonts w:hint="default" w:ascii="宋体" w:hAnsi="宋体" w:cstheme="minorBidi"/>
                <w:kern w:val="2"/>
                <w:sz w:val="22"/>
                <w:szCs w:val="22"/>
                <w:lang w:val="en-US" w:eastAsia="zh-CN" w:bidi="ar-SA"/>
              </w:rPr>
            </w:pPr>
            <w:r>
              <w:rPr>
                <w:rFonts w:hint="eastAsia" w:ascii="宋体" w:hAnsi="宋体" w:cstheme="minorBidi"/>
                <w:kern w:val="2"/>
                <w:sz w:val="22"/>
                <w:szCs w:val="22"/>
                <w:lang w:val="en-US" w:eastAsia="zh-CN" w:bidi="ar-SA"/>
              </w:rPr>
              <w:t>产品管道仪表图</w:t>
            </w:r>
          </w:p>
        </w:tc>
        <w:tc>
          <w:tcPr>
            <w:tcW w:w="3395" w:type="dxa"/>
            <w:noWrap w:val="0"/>
            <w:vAlign w:val="center"/>
          </w:tcPr>
          <w:p>
            <w:pPr>
              <w:jc w:val="center"/>
              <w:rPr>
                <w:rFonts w:hint="eastAsia" w:ascii="宋体" w:hAnsi="宋体"/>
                <w:sz w:val="22"/>
                <w:szCs w:val="22"/>
                <w:highlight w:val="none"/>
                <w:lang w:val="en-US" w:eastAsia="zh-CN"/>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sz w:val="22"/>
                <w:szCs w:val="22"/>
                <w:highlight w:val="none"/>
                <w:lang w:eastAsia="zh-CN"/>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7</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产品地基图</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8</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计算结果汇总表</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9</w:t>
            </w:r>
          </w:p>
        </w:tc>
        <w:tc>
          <w:tcPr>
            <w:tcW w:w="2033"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监督检验证书</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份</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1</w:t>
            </w:r>
          </w:p>
        </w:tc>
        <w:tc>
          <w:tcPr>
            <w:tcW w:w="1581" w:type="dxa"/>
            <w:noWrap w:val="0"/>
            <w:vAlign w:val="center"/>
          </w:tcPr>
          <w:p>
            <w:pPr>
              <w:spacing w:line="300" w:lineRule="exact"/>
              <w:jc w:val="center"/>
              <w:rPr>
                <w:rFonts w:hint="default"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周口锅检</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81" w:type="dxa"/>
            <w:noWrap w:val="0"/>
            <w:vAlign w:val="center"/>
          </w:tcPr>
          <w:p>
            <w:pPr>
              <w:spacing w:line="300" w:lineRule="exact"/>
              <w:jc w:val="center"/>
              <w:rPr>
                <w:rFonts w:hint="default" w:ascii="宋体" w:hAnsi="宋体" w:eastAsia="宋体"/>
                <w:sz w:val="22"/>
                <w:szCs w:val="22"/>
                <w:lang w:val="en-US" w:eastAsia="zh-CN"/>
              </w:rPr>
            </w:pPr>
            <w:r>
              <w:rPr>
                <w:rFonts w:hint="eastAsia" w:ascii="宋体" w:hAnsi="宋体" w:eastAsia="宋体"/>
                <w:sz w:val="22"/>
                <w:szCs w:val="22"/>
                <w:lang w:val="en-US" w:eastAsia="zh-CN"/>
              </w:rPr>
              <w:t>10</w:t>
            </w:r>
          </w:p>
        </w:tc>
        <w:tc>
          <w:tcPr>
            <w:tcW w:w="2033"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cstheme="minorBidi"/>
                <w:kern w:val="2"/>
                <w:sz w:val="22"/>
                <w:szCs w:val="22"/>
                <w:lang w:val="en-US" w:eastAsia="zh-CN" w:bidi="ar-SA"/>
              </w:rPr>
              <w:t>规格指示铭牌</w:t>
            </w:r>
          </w:p>
        </w:tc>
        <w:tc>
          <w:tcPr>
            <w:tcW w:w="3395" w:type="dxa"/>
            <w:noWrap w:val="0"/>
            <w:vAlign w:val="center"/>
          </w:tcPr>
          <w:p>
            <w:pPr>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WNS20</w:t>
            </w:r>
            <w:r>
              <w:rPr>
                <w:rFonts w:hint="eastAsia" w:ascii="宋体" w:hAnsi="宋体"/>
                <w:sz w:val="22"/>
                <w:szCs w:val="22"/>
                <w:highlight w:val="none"/>
              </w:rPr>
              <w:t>-</w:t>
            </w:r>
            <w:r>
              <w:rPr>
                <w:rFonts w:hint="eastAsia" w:ascii="宋体" w:hAnsi="宋体"/>
                <w:sz w:val="22"/>
                <w:szCs w:val="22"/>
                <w:highlight w:val="none"/>
                <w:lang w:val="en-US" w:eastAsia="zh-CN"/>
              </w:rPr>
              <w:t>1.25</w:t>
            </w:r>
            <w:r>
              <w:rPr>
                <w:rFonts w:hint="eastAsia" w:ascii="宋体" w:hAnsi="宋体"/>
                <w:sz w:val="22"/>
                <w:szCs w:val="22"/>
                <w:highlight w:val="none"/>
              </w:rPr>
              <w:t>-YQ</w:t>
            </w:r>
          </w:p>
        </w:tc>
        <w:tc>
          <w:tcPr>
            <w:tcW w:w="707"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lang w:val="en-US" w:eastAsia="zh-CN"/>
              </w:rPr>
              <w:t>个</w:t>
            </w:r>
          </w:p>
        </w:tc>
        <w:tc>
          <w:tcPr>
            <w:tcW w:w="814"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val="en-US" w:eastAsia="zh-CN"/>
              </w:rPr>
              <w:t>1</w:t>
            </w:r>
          </w:p>
        </w:tc>
        <w:tc>
          <w:tcPr>
            <w:tcW w:w="1581" w:type="dxa"/>
            <w:noWrap w:val="0"/>
            <w:vAlign w:val="center"/>
          </w:tcPr>
          <w:p>
            <w:pPr>
              <w:spacing w:line="300" w:lineRule="exact"/>
              <w:jc w:val="center"/>
              <w:rPr>
                <w:rFonts w:hint="eastAsia" w:ascii="宋体" w:hAnsi="宋体" w:eastAsiaTheme="minorEastAsia" w:cstheme="minorBidi"/>
                <w:kern w:val="2"/>
                <w:sz w:val="22"/>
                <w:szCs w:val="22"/>
                <w:lang w:val="en-US" w:eastAsia="zh-CN" w:bidi="ar-SA"/>
              </w:rPr>
            </w:pPr>
            <w:r>
              <w:rPr>
                <w:rFonts w:hint="eastAsia" w:ascii="宋体" w:hAnsi="宋体"/>
                <w:sz w:val="22"/>
                <w:szCs w:val="22"/>
                <w:highlight w:val="none"/>
                <w:lang w:eastAsia="zh-CN"/>
              </w:rPr>
              <w:t>河南</w:t>
            </w:r>
            <w:r>
              <w:rPr>
                <w:rFonts w:hint="eastAsia" w:ascii="宋体" w:hAnsi="宋体"/>
                <w:sz w:val="22"/>
                <w:szCs w:val="22"/>
                <w:highlight w:val="none"/>
              </w:rPr>
              <w:t>恒</w:t>
            </w:r>
            <w:r>
              <w:rPr>
                <w:rFonts w:hint="eastAsia" w:ascii="宋体" w:hAnsi="宋体"/>
                <w:sz w:val="22"/>
                <w:szCs w:val="22"/>
                <w:highlight w:val="none"/>
                <w:lang w:eastAsia="zh-CN"/>
              </w:rPr>
              <w:t>信</w:t>
            </w:r>
          </w:p>
        </w:tc>
        <w:tc>
          <w:tcPr>
            <w:tcW w:w="1566" w:type="dxa"/>
            <w:noWrap w:val="0"/>
            <w:vAlign w:val="center"/>
          </w:tcPr>
          <w:p>
            <w:pPr>
              <w:jc w:val="center"/>
              <w:rPr>
                <w:rFonts w:hint="eastAsia"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0777" w:type="dxa"/>
            <w:gridSpan w:val="7"/>
            <w:noWrap w:val="0"/>
            <w:vAlign w:val="center"/>
          </w:tcPr>
          <w:p>
            <w:pPr>
              <w:jc w:val="center"/>
              <w:rPr>
                <w:rFonts w:hint="default" w:ascii="宋体" w:hAnsi="宋体" w:eastAsiaTheme="minorEastAsia"/>
                <w:sz w:val="22"/>
                <w:szCs w:val="22"/>
                <w:lang w:val="en-US" w:eastAsia="zh-CN"/>
              </w:rPr>
            </w:pPr>
            <w:r>
              <w:rPr>
                <w:rFonts w:hint="eastAsia" w:ascii="宋体" w:hAnsi="宋体"/>
                <w:sz w:val="21"/>
                <w:szCs w:val="21"/>
              </w:rPr>
              <w:t>以上全套总价合计</w:t>
            </w:r>
            <w:r>
              <w:rPr>
                <w:rFonts w:hint="eastAsia" w:ascii="宋体" w:hAnsi="宋体"/>
                <w:sz w:val="22"/>
                <w:szCs w:val="22"/>
                <w:lang w:val="en-US" w:eastAsia="zh-CN"/>
              </w:rPr>
              <w:t>：        元整（￥：     .00元）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777" w:type="dxa"/>
            <w:gridSpan w:val="7"/>
            <w:noWrap w:val="0"/>
            <w:vAlign w:val="center"/>
          </w:tcPr>
          <w:p>
            <w:pPr>
              <w:jc w:val="left"/>
              <w:rPr>
                <w:rFonts w:hint="eastAsia" w:ascii="宋体" w:hAnsi="宋体"/>
                <w:sz w:val="22"/>
                <w:szCs w:val="22"/>
              </w:rPr>
            </w:pPr>
            <w:r>
              <w:rPr>
                <w:rFonts w:hint="eastAsia" w:ascii="宋体" w:hAnsi="宋体"/>
                <w:sz w:val="22"/>
                <w:szCs w:val="22"/>
                <w:lang w:val="en-US" w:eastAsia="zh-CN"/>
              </w:rPr>
              <w:t>注：</w:t>
            </w: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t>二、技术参数：</w:t>
      </w:r>
      <w:bookmarkEnd w:id="5"/>
      <w:bookmarkEnd w:id="6"/>
    </w:p>
    <w:bookmarkEnd w:id="7"/>
    <w:tbl>
      <w:tblPr>
        <w:tblStyle w:val="11"/>
        <w:tblW w:w="1022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2896"/>
        <w:gridCol w:w="2245"/>
        <w:gridCol w:w="2479"/>
        <w:gridCol w:w="131"/>
        <w:gridCol w:w="24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1094" w:hRule="atLeast"/>
          <w:jc w:val="center"/>
        </w:trPr>
        <w:tc>
          <w:tcPr>
            <w:tcW w:w="10220" w:type="dxa"/>
            <w:gridSpan w:val="5"/>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bookmarkStart w:id="10" w:name="_三、公司简介："/>
            <w:r>
              <w:rPr>
                <w:rFonts w:hint="eastAsia"/>
                <w:b/>
                <w:bCs/>
                <w:color w:val="000000"/>
                <w:sz w:val="36"/>
                <w:szCs w:val="36"/>
                <w:lang w:val="en-US" w:eastAsia="zh-CN"/>
              </w:rPr>
              <w:t>燃油气蒸汽锅炉数据表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079" w:type="dxa"/>
            <w:gridSpan w:val="3"/>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WNS20.0-1.25-YQ</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079" w:type="dxa"/>
            <w:gridSpan w:val="3"/>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079" w:type="dxa"/>
            <w:gridSpan w:val="3"/>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79" w:type="dxa"/>
            <w:gridSpan w:val="3"/>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79" w:type="dxa"/>
            <w:gridSpan w:val="3"/>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color w:val="000000"/>
                <w:sz w:val="24"/>
                <w:szCs w:val="24"/>
              </w:rPr>
            </w:pPr>
            <w:r>
              <w:rPr>
                <w:rFonts w:hint="eastAsia" w:ascii="Tahoma" w:hAnsi="Tahoma" w:eastAsia="宋体" w:cs="Tahoma"/>
                <w:color w:val="000000"/>
                <w:sz w:val="24"/>
                <w:szCs w:val="24"/>
                <w:lang w:val="en-US" w:eastAsia="zh-CN"/>
              </w:rPr>
              <w:t>设计</w:t>
            </w:r>
            <w:r>
              <w:rPr>
                <w:rFonts w:ascii="Tahoma" w:hAnsi="Tahoma" w:eastAsia="Tahoma" w:cs="Tahoma"/>
                <w:color w:val="000000"/>
                <w:sz w:val="24"/>
                <w:szCs w:val="24"/>
              </w:rPr>
              <w:t>热效率≥</w:t>
            </w:r>
          </w:p>
        </w:tc>
        <w:tc>
          <w:tcPr>
            <w:tcW w:w="2479" w:type="dxa"/>
            <w:tcBorders>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96.66%(油)</w:t>
            </w:r>
          </w:p>
        </w:tc>
        <w:tc>
          <w:tcPr>
            <w:tcW w:w="2600"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96.56%(气)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排烟温度/</w:t>
            </w:r>
            <w:r>
              <w:rPr>
                <w:rFonts w:ascii="Tahoma" w:hAnsi="Tahoma" w:eastAsia="Tahoma" w:cs="Tahoma"/>
                <w:color w:val="000000"/>
                <w:sz w:val="24"/>
                <w:szCs w:val="24"/>
              </w:rPr>
              <w:t>°C</w:t>
            </w:r>
          </w:p>
        </w:tc>
        <w:tc>
          <w:tcPr>
            <w:tcW w:w="2479"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118.08(油)</w:t>
            </w:r>
          </w:p>
        </w:tc>
        <w:tc>
          <w:tcPr>
            <w:tcW w:w="2600"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119.16(气)</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运输尺寸</w:t>
            </w:r>
          </w:p>
        </w:tc>
        <w:tc>
          <w:tcPr>
            <w:tcW w:w="5079" w:type="dxa"/>
            <w:gridSpan w:val="3"/>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7800*3680*4200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运输重量</w:t>
            </w:r>
          </w:p>
        </w:tc>
        <w:tc>
          <w:tcPr>
            <w:tcW w:w="5079" w:type="dxa"/>
            <w:gridSpan w:val="3"/>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59 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vMerge w:val="restart"/>
            <w:noWrap w:val="0"/>
            <w:vAlign w:val="center"/>
          </w:tcPr>
          <w:p>
            <w:pPr>
              <w:pStyle w:val="10"/>
              <w:spacing w:line="240" w:lineRule="auto"/>
              <w:jc w:val="center"/>
              <w:rPr>
                <w:rFonts w:hint="eastAsia" w:ascii="Tahoma" w:hAnsi="Tahoma" w:eastAsia="Tahoma" w:cs="Tahoma"/>
                <w:color w:val="000000"/>
                <w:sz w:val="24"/>
                <w:szCs w:val="24"/>
                <w:lang w:eastAsia="zh-CN"/>
              </w:rPr>
            </w:pPr>
            <w:r>
              <w:rPr>
                <w:rFonts w:hint="eastAsia" w:ascii="Tahoma" w:hAnsi="Tahoma" w:eastAsia="Tahoma" w:cs="Tahoma"/>
                <w:color w:val="000000"/>
                <w:sz w:val="24"/>
                <w:szCs w:val="24"/>
                <w:lang w:eastAsia="zh-CN"/>
              </w:rPr>
              <w:t>设计燃料</w:t>
            </w:r>
          </w:p>
        </w:tc>
        <w:tc>
          <w:tcPr>
            <w:tcW w:w="2245"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天然气</w:t>
            </w:r>
          </w:p>
        </w:tc>
        <w:tc>
          <w:tcPr>
            <w:tcW w:w="5079" w:type="dxa"/>
            <w:gridSpan w:val="3"/>
            <w:tcBorders>
              <w:left w:val="single" w:color="auto" w:sz="4" w:space="0"/>
            </w:tcBorders>
            <w:noWrap w:val="0"/>
            <w:vAlign w:val="center"/>
          </w:tcPr>
          <w:p>
            <w:pPr>
              <w:pStyle w:val="10"/>
              <w:spacing w:line="240" w:lineRule="auto"/>
              <w:jc w:val="center"/>
              <w:rPr>
                <w:rFonts w:hint="default"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Qydw=8550kcal/kg=35.8MJ/kg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vMerge w:val="continue"/>
            <w:noWrap w:val="0"/>
            <w:vAlign w:val="center"/>
          </w:tcPr>
          <w:p>
            <w:pPr>
              <w:pStyle w:val="10"/>
              <w:spacing w:line="240" w:lineRule="auto"/>
              <w:jc w:val="center"/>
              <w:rPr>
                <w:rFonts w:hint="eastAsia" w:ascii="Tahoma" w:hAnsi="Tahoma" w:eastAsia="Tahoma" w:cs="Tahoma"/>
                <w:color w:val="000000"/>
                <w:sz w:val="24"/>
                <w:szCs w:val="24"/>
                <w:lang w:eastAsia="zh-CN"/>
              </w:rPr>
            </w:pPr>
          </w:p>
        </w:tc>
        <w:tc>
          <w:tcPr>
            <w:tcW w:w="2245" w:type="dxa"/>
            <w:tcBorders>
              <w:righ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轻油</w:t>
            </w:r>
          </w:p>
        </w:tc>
        <w:tc>
          <w:tcPr>
            <w:tcW w:w="5079" w:type="dxa"/>
            <w:gridSpan w:val="3"/>
            <w:tcBorders>
              <w:left w:val="single" w:color="auto" w:sz="4" w:space="0"/>
            </w:tcBorders>
            <w:noWrap w:val="0"/>
            <w:vAlign w:val="center"/>
          </w:tcPr>
          <w:p>
            <w:pPr>
              <w:pStyle w:val="10"/>
              <w:spacing w:line="240" w:lineRule="auto"/>
              <w:jc w:val="center"/>
              <w:rPr>
                <w:rFonts w:hint="eastAsia" w:ascii="Tahoma" w:hAnsi="Tahoma" w:eastAsia="Tahoma" w:cs="Tahoma"/>
                <w:color w:val="000000"/>
                <w:sz w:val="24"/>
                <w:szCs w:val="24"/>
                <w:lang w:val="en-US" w:eastAsia="zh-CN"/>
              </w:rPr>
            </w:pPr>
            <w:r>
              <w:rPr>
                <w:rFonts w:hint="eastAsia" w:ascii="Tahoma" w:hAnsi="Tahoma" w:eastAsia="Tahoma" w:cs="Tahoma"/>
                <w:color w:val="000000"/>
                <w:sz w:val="24"/>
                <w:szCs w:val="24"/>
                <w:lang w:val="en-US" w:eastAsia="zh-CN"/>
              </w:rPr>
              <w:t>Qydw=10200kcal/kg=42.7MJ/kg</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vMerge w:val="restart"/>
            <w:noWrap w:val="0"/>
            <w:vAlign w:val="center"/>
          </w:tcPr>
          <w:p>
            <w:pPr>
              <w:pStyle w:val="10"/>
              <w:spacing w:line="240" w:lineRule="auto"/>
              <w:jc w:val="center"/>
              <w:rPr>
                <w:rFonts w:hint="default" w:eastAsia="宋体"/>
                <w:color w:val="000000"/>
                <w:sz w:val="24"/>
                <w:szCs w:val="24"/>
                <w:lang w:val="en-US" w:eastAsia="zh-CN"/>
              </w:rPr>
            </w:pPr>
            <w:r>
              <w:rPr>
                <w:rFonts w:hint="eastAsia"/>
                <w:color w:val="000000"/>
                <w:sz w:val="24"/>
                <w:szCs w:val="24"/>
                <w:lang w:val="en-US" w:eastAsia="zh-CN"/>
              </w:rPr>
              <w:t>燃料消耗量</w:t>
            </w:r>
          </w:p>
        </w:tc>
        <w:tc>
          <w:tcPr>
            <w:tcW w:w="2245" w:type="dxa"/>
            <w:tcBorders>
              <w:right w:val="single" w:color="auto" w:sz="4" w:space="0"/>
            </w:tcBorders>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天然气</w:t>
            </w:r>
          </w:p>
        </w:tc>
        <w:tc>
          <w:tcPr>
            <w:tcW w:w="5079" w:type="dxa"/>
            <w:gridSpan w:val="3"/>
            <w:tcBorders>
              <w:left w:val="single" w:color="auto" w:sz="4" w:space="0"/>
            </w:tcBorders>
            <w:noWrap w:val="0"/>
            <w:vAlign w:val="center"/>
          </w:tcPr>
          <w:p>
            <w:pPr>
              <w:pStyle w:val="10"/>
              <w:spacing w:line="240" w:lineRule="auto"/>
              <w:jc w:val="center"/>
              <w:rPr>
                <w:rFonts w:hint="eastAsia"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500-1650</w:t>
            </w:r>
            <w:r>
              <w:rPr>
                <w:rFonts w:ascii="Tahoma" w:hAnsi="Tahoma" w:eastAsia="Tahoma" w:cs="Tahoma"/>
                <w:color w:val="000000"/>
                <w:sz w:val="24"/>
                <w:szCs w:val="24"/>
              </w:rPr>
              <w:t>Nm3/h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vMerge w:val="continue"/>
            <w:noWrap w:val="0"/>
            <w:vAlign w:val="center"/>
          </w:tcPr>
          <w:p>
            <w:pPr>
              <w:pStyle w:val="10"/>
              <w:spacing w:line="240" w:lineRule="auto"/>
              <w:jc w:val="center"/>
              <w:rPr>
                <w:rFonts w:ascii="Tahoma" w:hAnsi="Tahoma" w:eastAsia="Tahoma" w:cs="Tahoma"/>
                <w:color w:val="000000"/>
                <w:sz w:val="24"/>
                <w:szCs w:val="24"/>
              </w:rPr>
            </w:pPr>
          </w:p>
        </w:tc>
        <w:tc>
          <w:tcPr>
            <w:tcW w:w="2245"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eastAsia="zh-CN"/>
              </w:rPr>
              <w:t>轻油</w:t>
            </w:r>
          </w:p>
        </w:tc>
        <w:tc>
          <w:tcPr>
            <w:tcW w:w="5079" w:type="dxa"/>
            <w:gridSpan w:val="3"/>
            <w:tcBorders>
              <w:lef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350-1350kg</w:t>
            </w:r>
            <w:r>
              <w:rPr>
                <w:rFonts w:ascii="Tahoma" w:hAnsi="Tahoma" w:eastAsia="Tahoma" w:cs="Tahoma"/>
                <w:color w:val="000000"/>
                <w:sz w:val="24"/>
                <w:szCs w:val="24"/>
              </w:rPr>
              <w:t>/h</w:t>
            </w:r>
            <w:r>
              <w:rPr>
                <w:rFonts w:hint="eastAsia" w:ascii="Tahoma" w:hAnsi="Tahoma" w:cs="Tahoma"/>
                <w:color w:val="000000"/>
                <w:sz w:val="24"/>
                <w:szCs w:val="24"/>
                <w:lang w:eastAsia="zh-CN"/>
              </w:rPr>
              <w:t>（最小</w:t>
            </w:r>
            <w:r>
              <w:rPr>
                <w:rFonts w:hint="eastAsia" w:ascii="Tahoma" w:hAnsi="Tahoma" w:cs="Tahoma"/>
                <w:color w:val="000000"/>
                <w:sz w:val="24"/>
                <w:szCs w:val="24"/>
                <w:lang w:val="en-US" w:eastAsia="zh-CN"/>
              </w:rPr>
              <w:t>工况/最大工况</w:t>
            </w:r>
            <w:r>
              <w:rPr>
                <w:rFonts w:hint="eastAsia" w:ascii="Tahoma" w:hAnsi="Tahoma" w:cs="Tahoma"/>
                <w:color w:val="000000"/>
                <w:sz w:val="24"/>
                <w:szCs w:val="24"/>
                <w:lang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5141" w:type="dxa"/>
            <w:gridSpan w:val="2"/>
            <w:tcBorders>
              <w:righ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配套电控规范</w:t>
            </w:r>
          </w:p>
        </w:tc>
        <w:tc>
          <w:tcPr>
            <w:tcW w:w="5079" w:type="dxa"/>
            <w:gridSpan w:val="3"/>
            <w:tcBorders>
              <w:left w:val="single" w:color="auto" w:sz="4" w:space="0"/>
            </w:tcBorders>
            <w:noWrap w:val="0"/>
            <w:vAlign w:val="center"/>
          </w:tcPr>
          <w:p>
            <w:pPr>
              <w:pStyle w:val="10"/>
              <w:spacing w:line="240" w:lineRule="auto"/>
              <w:jc w:val="center"/>
              <w:rPr>
                <w:rFonts w:hint="eastAsia"/>
                <w:b/>
                <w:bCs/>
                <w:color w:val="000000"/>
                <w:sz w:val="22"/>
                <w:szCs w:val="22"/>
                <w:lang w:val="en-US" w:eastAsia="zh-CN"/>
              </w:rPr>
            </w:pPr>
            <w:r>
              <w:rPr>
                <w:rFonts w:hint="eastAsia"/>
                <w:b/>
                <w:bCs/>
                <w:color w:val="000000"/>
                <w:sz w:val="22"/>
                <w:szCs w:val="22"/>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224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HXDK-20</w:t>
            </w:r>
          </w:p>
        </w:tc>
        <w:tc>
          <w:tcPr>
            <w:tcW w:w="2610"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型号</w:t>
            </w:r>
          </w:p>
        </w:tc>
        <w:tc>
          <w:tcPr>
            <w:tcW w:w="2469"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HXF-20T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本体结构</w:t>
            </w:r>
          </w:p>
        </w:tc>
        <w:tc>
          <w:tcPr>
            <w:tcW w:w="224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立柜式</w:t>
            </w:r>
          </w:p>
        </w:tc>
        <w:tc>
          <w:tcPr>
            <w:tcW w:w="261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额定工作压力</w:t>
            </w:r>
          </w:p>
        </w:tc>
        <w:tc>
          <w:tcPr>
            <w:tcW w:w="2469" w:type="dxa"/>
            <w:tcBorders>
              <w:lef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93" w:hRule="atLeast"/>
          <w:jc w:val="center"/>
        </w:trPr>
        <w:tc>
          <w:tcPr>
            <w:tcW w:w="2896"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eastAsia="zh-CN"/>
              </w:rPr>
              <w:t>固定方式</w:t>
            </w:r>
          </w:p>
        </w:tc>
        <w:tc>
          <w:tcPr>
            <w:tcW w:w="224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kern w:val="0"/>
                <w:sz w:val="22"/>
                <w:szCs w:val="22"/>
                <w:lang w:val="en-US" w:eastAsia="zh-CN" w:bidi="ar-SA"/>
              </w:rPr>
              <w:t>地铆式</w:t>
            </w:r>
          </w:p>
        </w:tc>
        <w:tc>
          <w:tcPr>
            <w:tcW w:w="261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额定工作温度</w:t>
            </w:r>
          </w:p>
        </w:tc>
        <w:tc>
          <w:tcPr>
            <w:tcW w:w="2469" w:type="dxa"/>
            <w:tcBorders>
              <w:left w:val="single" w:color="auto" w:sz="4" w:space="0"/>
            </w:tcBorders>
            <w:noWrap w:val="0"/>
            <w:vAlign w:val="center"/>
          </w:tcPr>
          <w:p>
            <w:pPr>
              <w:pStyle w:val="10"/>
              <w:spacing w:line="240" w:lineRule="auto"/>
              <w:jc w:val="center"/>
              <w:rPr>
                <w:rFonts w:hint="default"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194</w:t>
            </w:r>
            <w:r>
              <w:rPr>
                <w:rFonts w:hint="eastAsia" w:ascii="Tahoma" w:hAnsi="Tahoma" w:cs="Tahoma"/>
                <w:b/>
                <w:bCs/>
                <w:color w:val="000000"/>
                <w:sz w:val="22"/>
                <w:szCs w:val="22"/>
                <w:lang w:val="en-US" w:eastAsia="zh-CN"/>
              </w:rPr>
              <w:t>℃</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7" w:hRule="atLeast"/>
          <w:jc w:val="center"/>
        </w:trPr>
        <w:tc>
          <w:tcPr>
            <w:tcW w:w="10220" w:type="dxa"/>
            <w:gridSpan w:val="5"/>
            <w:noWrap w:val="0"/>
            <w:vAlign w:val="center"/>
          </w:tcPr>
          <w:p>
            <w:pPr>
              <w:pStyle w:val="10"/>
              <w:spacing w:line="240" w:lineRule="auto"/>
              <w:jc w:val="center"/>
              <w:rPr>
                <w:rFonts w:hint="eastAsia" w:ascii="Tahoma" w:hAnsi="Tahoma" w:cs="Tahoma"/>
                <w:color w:val="000000"/>
                <w:sz w:val="22"/>
                <w:szCs w:val="22"/>
                <w:lang w:val="en-US" w:eastAsia="zh-CN"/>
              </w:rPr>
            </w:pPr>
          </w:p>
        </w:tc>
      </w:tr>
    </w:tbl>
    <w:p>
      <w:pPr>
        <w:pStyle w:val="4"/>
        <w:bidi w:val="0"/>
        <w:rPr>
          <w:rFonts w:hint="eastAsia" w:ascii="黑体" w:hAnsi="黑体" w:eastAsia="黑体" w:cs="黑体"/>
          <w:lang w:val="en-US" w:eastAsia="zh-CN"/>
        </w:rPr>
      </w:pPr>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燃油气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Toc25758"/>
      <w:bookmarkStart w:id="12" w:name="_Toc9567"/>
      <w:bookmarkStart w:id="13" w:name="_四、公司资质与产品展示"/>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92032"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1" name="图片 1"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bookmarkStart w:id="79" w:name="_GoBack"/>
      <w:bookmarkEnd w:id="79"/>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9984"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91008"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2" name="图片 2"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eastAsia="黑体"/>
          <w:lang w:eastAsia="zh-CN"/>
        </w:rPr>
        <w:drawing>
          <wp:anchor distT="0" distB="0" distL="114300" distR="114300" simplePos="0" relativeHeight="251682816" behindDoc="0" locked="0" layoutInCell="1" allowOverlap="1">
            <wp:simplePos x="0" y="0"/>
            <wp:positionH relativeFrom="column">
              <wp:posOffset>90805</wp:posOffset>
            </wp:positionH>
            <wp:positionV relativeFrom="paragraph">
              <wp:posOffset>79375</wp:posOffset>
            </wp:positionV>
            <wp:extent cx="6000750" cy="4500245"/>
            <wp:effectExtent l="0" t="0" r="0" b="14605"/>
            <wp:wrapTopAndBottom/>
            <wp:docPr id="6" name="图片 6" descr="C:/Users/86156/AppData/Local/Temp/picturecompress_2022012009162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56/AppData/Local/Temp/picturecompress_20220120091621/output_1.jpgoutput_1"/>
                    <pic:cNvPicPr>
                      <a:picLocks noChangeAspect="1"/>
                    </pic:cNvPicPr>
                  </pic:nvPicPr>
                  <pic:blipFill>
                    <a:blip r:embed="rId18"/>
                    <a:stretch>
                      <a:fillRect/>
                    </a:stretch>
                  </pic:blipFill>
                  <pic:spPr>
                    <a:xfrm>
                      <a:off x="0" y="0"/>
                      <a:ext cx="6000750" cy="450024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inline distT="0" distB="0" distL="114300" distR="114300">
            <wp:extent cx="6000750" cy="4500245"/>
            <wp:effectExtent l="0" t="0" r="0" b="14605"/>
            <wp:docPr id="3" name="图片 3" descr="C:/Users/86156/AppData/Local/Temp/picturecompress_2022012009133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86156/AppData/Local/Temp/picturecompress_20220120091336/output_1.jpgoutput_1"/>
                    <pic:cNvPicPr>
                      <a:picLocks noChangeAspect="1"/>
                    </pic:cNvPicPr>
                  </pic:nvPicPr>
                  <pic:blipFill>
                    <a:blip r:embed="rId19"/>
                    <a:stretch>
                      <a:fillRect/>
                    </a:stretch>
                  </pic:blipFill>
                  <pic:spPr>
                    <a:xfrm>
                      <a:off x="0" y="0"/>
                      <a:ext cx="6000750" cy="4500245"/>
                    </a:xfrm>
                    <a:prstGeom prst="rect">
                      <a:avLst/>
                    </a:prstGeom>
                  </pic:spPr>
                </pic:pic>
              </a:graphicData>
            </a:graphic>
          </wp:inline>
        </w:drawing>
      </w:r>
    </w:p>
    <w:p>
      <w:pPr>
        <w:rPr>
          <w:rFonts w:hint="eastAsia"/>
          <w:lang w:eastAsia="zh-CN"/>
        </w:rPr>
      </w:pPr>
      <w:r>
        <w:rPr>
          <w:rFonts w:hint="eastAsia"/>
          <w:lang w:eastAsia="zh-CN"/>
        </w:rPr>
        <w:drawing>
          <wp:anchor distT="0" distB="0" distL="114300" distR="114300" simplePos="0" relativeHeight="251683840" behindDoc="0" locked="0" layoutInCell="1" allowOverlap="1">
            <wp:simplePos x="0" y="0"/>
            <wp:positionH relativeFrom="column">
              <wp:posOffset>76200</wp:posOffset>
            </wp:positionH>
            <wp:positionV relativeFrom="paragraph">
              <wp:posOffset>94615</wp:posOffset>
            </wp:positionV>
            <wp:extent cx="6000750" cy="4500245"/>
            <wp:effectExtent l="0" t="0" r="0" b="14605"/>
            <wp:wrapTopAndBottom/>
            <wp:docPr id="9" name="图片 9" descr="C:/Users/86156/AppData/Local/Temp/picturecompress_2022012009205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56/AppData/Local/Temp/picturecompress_20220120092051/output_1.jpgoutput_1"/>
                    <pic:cNvPicPr>
                      <a:picLocks noChangeAspect="1"/>
                    </pic:cNvPicPr>
                  </pic:nvPicPr>
                  <pic:blipFill>
                    <a:blip r:embed="rId20"/>
                    <a:stretch>
                      <a:fillRect/>
                    </a:stretch>
                  </pic:blipFill>
                  <pic:spPr>
                    <a:xfrm>
                      <a:off x="0" y="0"/>
                      <a:ext cx="6000750" cy="4500245"/>
                    </a:xfrm>
                    <a:prstGeom prst="rect">
                      <a:avLst/>
                    </a:prstGeom>
                  </pic:spPr>
                </pic:pic>
              </a:graphicData>
            </a:graphic>
          </wp:anchor>
        </w:drawing>
      </w:r>
      <w:r>
        <w:rPr>
          <w:rFonts w:hint="eastAsia"/>
          <w:lang w:eastAsia="zh-CN"/>
        </w:rPr>
        <w:drawing>
          <wp:anchor distT="0" distB="0" distL="114300" distR="114300" simplePos="0" relativeHeight="251684864" behindDoc="0" locked="0" layoutInCell="1" allowOverlap="1">
            <wp:simplePos x="0" y="0"/>
            <wp:positionH relativeFrom="column">
              <wp:posOffset>90805</wp:posOffset>
            </wp:positionH>
            <wp:positionV relativeFrom="paragraph">
              <wp:posOffset>4597400</wp:posOffset>
            </wp:positionV>
            <wp:extent cx="6000750" cy="4500245"/>
            <wp:effectExtent l="0" t="0" r="0" b="14605"/>
            <wp:wrapTopAndBottom/>
            <wp:docPr id="10" name="图片 10" descr="C:/Users/86156/AppData/Local/Temp/picturecompress_2022012009210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56/AppData/Local/Temp/picturecompress_20220120092106/output_1.jpgoutput_1"/>
                    <pic:cNvPicPr>
                      <a:picLocks noChangeAspect="1"/>
                    </pic:cNvPicPr>
                  </pic:nvPicPr>
                  <pic:blipFill>
                    <a:blip r:embed="rId21"/>
                    <a:stretch>
                      <a:fillRect/>
                    </a:stretch>
                  </pic:blipFill>
                  <pic:spPr>
                    <a:xfrm>
                      <a:off x="0" y="0"/>
                      <a:ext cx="6000750" cy="4500245"/>
                    </a:xfrm>
                    <a:prstGeom prst="rect">
                      <a:avLst/>
                    </a:prstGeom>
                  </pic:spPr>
                </pic:pic>
              </a:graphicData>
            </a:graphic>
          </wp:anchor>
        </w:drawing>
      </w:r>
    </w:p>
    <w:p>
      <w:pPr>
        <w:pStyle w:val="4"/>
        <w:bidi w:val="0"/>
        <w:rPr>
          <w:rFonts w:hint="eastAsia" w:ascii="黑体" w:hAnsi="黑体" w:eastAsia="黑体" w:cs="黑体"/>
          <w:lang w:val="en-US" w:eastAsia="zh-CN"/>
        </w:rPr>
      </w:pPr>
      <w:bookmarkStart w:id="14" w:name="_Toc16092"/>
      <w:bookmarkStart w:id="15" w:name="_Toc29994"/>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0708"/>
      <w:bookmarkStart w:id="18" w:name="_Toc16772"/>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pPr>
      <w:bookmarkStart w:id="20" w:name="_Toc28871"/>
      <w:bookmarkStart w:id="21" w:name="_Toc3123"/>
      <w:bookmarkStart w:id="22" w:name="_2、结构简介"/>
      <w:r>
        <w:rPr>
          <w:rFonts w:hint="eastAsia"/>
          <w:lang w:val="en-US" w:eastAsia="zh-CN"/>
        </w:rPr>
        <w:t>2</w:t>
      </w:r>
      <w:r>
        <w:rPr>
          <w:rFonts w:hint="eastAsia"/>
        </w:rPr>
        <w:t>、结构简介</w:t>
      </w:r>
      <w:bookmarkEnd w:id="20"/>
      <w:bookmarkEnd w:id="21"/>
    </w:p>
    <w:bookmarkEnd w:id="22"/>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WNS型燃油气蒸汽锅炉采用</w:t>
      </w:r>
      <w:r>
        <w:rPr>
          <w:rFonts w:hint="eastAsia"/>
          <w:sz w:val="24"/>
        </w:rPr>
        <w:t>卧式内燃三回程</w:t>
      </w:r>
      <w:r>
        <w:rPr>
          <w:rFonts w:hint="eastAsia" w:ascii="宋体" w:hAnsi="宋体"/>
          <w:sz w:val="24"/>
          <w:szCs w:val="24"/>
        </w:rPr>
        <w:t>结构形式，燃烧方式采用微正压室燃。锅炉本体由锅筒、波纹—平直组合炉胆、回燃室、和螺纹烟管组成。燃料在燃烧器内与空气混合后被电子点火棒点燃，喷入炉胆中燃烧，高温烟气由回燃室进入对流烟管，经出烟口进入节能器，达到排烟温度要求，最后由烟囱排入大气。</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结构特点：</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(1)燃烧器采用位于前部布置的三回程结构，火焰在炉膛内微正压燃烧，强化了传热，从而减少了对流受热面积，烟气流动阻力小，运行电耗低，可节约运行费用。</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(2)锅炉采用离心玻璃棉作为保温材料，其保温性能好，重量轻，散热损失少。</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(3)整个锅炉系统安全可靠，给水直接进入锅炉进水管，装有安全阀及压力控制器，使锅炉始终出在安全高效的运行状态之中。</w:t>
      </w:r>
    </w:p>
    <w:p>
      <w:pPr>
        <w:pStyle w:val="24"/>
        <w:keepNext w:val="0"/>
        <w:keepLines w:val="0"/>
        <w:pageBreakBefore w:val="0"/>
        <w:wordWrap/>
        <w:overflowPunct/>
        <w:topLinePunct w:val="0"/>
        <w:autoSpaceDE/>
        <w:autoSpaceDN/>
        <w:bidi w:val="0"/>
        <w:adjustRightInd/>
        <w:spacing w:line="440" w:lineRule="exact"/>
        <w:ind w:firstLine="480" w:firstLineChars="200"/>
        <w:rPr>
          <w:rFonts w:hint="eastAsia" w:ascii="宋体" w:hAnsi="宋体"/>
          <w:sz w:val="24"/>
          <w:szCs w:val="24"/>
        </w:rPr>
      </w:pPr>
      <w:r>
        <w:rPr>
          <w:rFonts w:hint="eastAsia" w:ascii="宋体" w:hAnsi="宋体"/>
          <w:sz w:val="24"/>
          <w:szCs w:val="24"/>
        </w:rPr>
        <w:t>(4)环保效果显著：烟尘排放浓度≤50mg/Nm3.格林曼黑度为I级，噪音≤60分贝。</w:t>
      </w:r>
    </w:p>
    <w:p>
      <w:pPr>
        <w:pStyle w:val="24"/>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ascii="宋体" w:hAnsi="宋体"/>
          <w:sz w:val="24"/>
          <w:szCs w:val="24"/>
        </w:rPr>
        <w:t>(5)烟气节能器采用圆形常压节能冷凝器，常压使用安全可靠，节能器与软水箱相连，中间有热水循环泵不间断循环，可以降低排烟温度提高锅炉热效率。</w:t>
      </w:r>
    </w:p>
    <w:p>
      <w:pPr>
        <w:pStyle w:val="5"/>
        <w:bidi w:val="0"/>
        <w:rPr>
          <w:rFonts w:hint="eastAsia"/>
        </w:rPr>
      </w:pPr>
      <w:bookmarkStart w:id="23" w:name="_Toc13346"/>
      <w:bookmarkStart w:id="24" w:name="_Toc13834"/>
      <w:bookmarkStart w:id="25" w:name="_3、性能特点"/>
      <w:r>
        <w:rPr>
          <w:rFonts w:hint="eastAsia"/>
          <w:lang w:val="en-US" w:eastAsia="zh-CN"/>
        </w:rPr>
        <w:t>3</w:t>
      </w:r>
      <w:r>
        <w:rPr>
          <w:rFonts w:hint="eastAsia"/>
        </w:rPr>
        <w:t>、性能特点</w:t>
      </w:r>
      <w:bookmarkEnd w:id="23"/>
      <w:bookmarkEnd w:id="24"/>
    </w:p>
    <w:bookmarkEnd w:id="25"/>
    <w:p>
      <w:pPr>
        <w:bidi w:val="0"/>
        <w:spacing w:line="360" w:lineRule="auto"/>
        <w:ind w:firstLine="420" w:firstLineChars="0"/>
        <w:rPr>
          <w:rFonts w:hint="eastAsia" w:ascii="宋体" w:hAnsi="宋体" w:eastAsia="宋体" w:cs="Times New Roman"/>
          <w:kern w:val="0"/>
          <w:sz w:val="24"/>
          <w:szCs w:val="24"/>
          <w:lang w:val="en-US" w:eastAsia="zh-CN" w:bidi="ar-SA"/>
        </w:rPr>
      </w:pPr>
      <w:r>
        <w:rPr>
          <w:rFonts w:hint="eastAsia" w:ascii="宋体" w:hAnsi="宋体" w:eastAsia="宋体" w:cs="Times New Roman"/>
          <w:kern w:val="0"/>
          <w:sz w:val="24"/>
          <w:szCs w:val="24"/>
          <w:lang w:val="en-US" w:eastAsia="zh-CN" w:bidi="ar-SA"/>
        </w:rPr>
        <w:t>本锅炉整体出厂，配备的燃烧设备采用进口燃烧器，可实现全自动化控制燃烧。锅炉设有电脑控制柜，控制柜上设有热工参数显示仪、控制按钮；本锅炉具有高低水位报警，和低水位连锁保护功能。本锅炉配备燃烧器应完全符合《锅炉安全技术监察规程》要求。</w:t>
      </w:r>
    </w:p>
    <w:p>
      <w:pPr>
        <w:pStyle w:val="5"/>
        <w:bidi w:val="0"/>
        <w:rPr>
          <w:rFonts w:hint="default"/>
          <w:lang w:val="en-US" w:eastAsia="zh-CN"/>
        </w:rPr>
      </w:pPr>
      <w:bookmarkStart w:id="26" w:name="_Toc7888"/>
      <w:bookmarkStart w:id="27" w:name="_4、设计燃料要求："/>
      <w:r>
        <w:rPr>
          <w:rFonts w:hint="eastAsia"/>
          <w:lang w:val="en-US" w:eastAsia="zh-CN"/>
        </w:rPr>
        <w:t>4</w:t>
      </w:r>
      <w:r>
        <w:rPr>
          <w:rFonts w:hint="default"/>
          <w:lang w:val="en-US" w:eastAsia="zh-CN"/>
        </w:rPr>
        <w:t>、设计燃料要求：</w:t>
      </w:r>
      <w:bookmarkEnd w:id="26"/>
    </w:p>
    <w:bookmarkEnd w:id="27"/>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1.液体燃料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0#轻柴油成分</w:t>
      </w:r>
    </w:p>
    <w:tbl>
      <w:tblPr>
        <w:tblStyle w:val="11"/>
        <w:tblW w:w="9416" w:type="dxa"/>
        <w:tblInd w:w="51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114"/>
        <w:gridCol w:w="1114"/>
        <w:gridCol w:w="968"/>
        <w:gridCol w:w="967"/>
        <w:gridCol w:w="1162"/>
        <w:gridCol w:w="1160"/>
        <w:gridCol w:w="1162"/>
        <w:gridCol w:w="1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Car</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Har</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Oar</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Sar</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Aar</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Var</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85.55</w:t>
            </w:r>
          </w:p>
        </w:tc>
        <w:tc>
          <w:tcPr>
            <w:tcW w:w="111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13.49</w:t>
            </w:r>
          </w:p>
        </w:tc>
        <w:tc>
          <w:tcPr>
            <w:tcW w:w="96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0.66</w:t>
            </w:r>
          </w:p>
        </w:tc>
        <w:tc>
          <w:tcPr>
            <w:tcW w:w="967"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0.04</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0.25</w:t>
            </w:r>
          </w:p>
        </w:tc>
        <w:tc>
          <w:tcPr>
            <w:tcW w:w="1160"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0.01</w:t>
            </w:r>
          </w:p>
        </w:tc>
        <w:tc>
          <w:tcPr>
            <w:tcW w:w="116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69"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42916.75</w:t>
            </w:r>
          </w:p>
        </w:tc>
      </w:tr>
    </w:tbl>
    <w:p>
      <w:pPr>
        <w:keepNext w:val="0"/>
        <w:keepLines w:val="0"/>
        <w:pageBreakBefore w:val="0"/>
        <w:wordWrap/>
        <w:overflowPunct/>
        <w:topLinePunct w:val="0"/>
        <w:autoSpaceDE/>
        <w:autoSpaceDN/>
        <w:bidi w:val="0"/>
        <w:adjustRightInd/>
        <w:spacing w:line="440" w:lineRule="exact"/>
        <w:rPr>
          <w:rFonts w:hint="default" w:ascii="宋体" w:hAnsi="宋体"/>
          <w:sz w:val="24"/>
          <w:szCs w:val="24"/>
        </w:rPr>
      </w:pPr>
      <w:r>
        <w:rPr>
          <w:rFonts w:hint="default" w:ascii="宋体" w:hAnsi="宋体"/>
          <w:sz w:val="24"/>
          <w:szCs w:val="24"/>
          <w:lang w:val="en-US" w:eastAsia="zh-CN"/>
        </w:rPr>
        <w:t>2．气体燃料</w:t>
      </w:r>
    </w:p>
    <w:p>
      <w:pPr>
        <w:keepNext w:val="0"/>
        <w:keepLines w:val="0"/>
        <w:pageBreakBefore w:val="0"/>
        <w:wordWrap/>
        <w:overflowPunct/>
        <w:topLinePunct w:val="0"/>
        <w:autoSpaceDE/>
        <w:autoSpaceDN/>
        <w:bidi w:val="0"/>
        <w:adjustRightInd/>
        <w:spacing w:line="440" w:lineRule="exact"/>
        <w:ind w:firstLine="480" w:firstLineChars="200"/>
        <w:rPr>
          <w:rFonts w:hint="default" w:ascii="宋体" w:hAnsi="宋体"/>
          <w:sz w:val="24"/>
          <w:szCs w:val="24"/>
        </w:rPr>
      </w:pPr>
      <w:r>
        <w:rPr>
          <w:rFonts w:hint="default" w:ascii="宋体" w:hAnsi="宋体"/>
          <w:sz w:val="24"/>
          <w:szCs w:val="24"/>
          <w:lang w:val="en-US" w:eastAsia="zh-CN"/>
        </w:rPr>
        <w:t>天然气成分：</w:t>
      </w:r>
    </w:p>
    <w:tbl>
      <w:tblPr>
        <w:tblStyle w:val="11"/>
        <w:tblW w:w="9547" w:type="dxa"/>
        <w:tblInd w:w="36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 w:type="dxa"/>
          <w:bottom w:w="0" w:type="dxa"/>
          <w:right w:w="10" w:type="dxa"/>
        </w:tblCellMar>
      </w:tblPr>
      <w:tblGrid>
        <w:gridCol w:w="1346"/>
        <w:gridCol w:w="1346"/>
        <w:gridCol w:w="1346"/>
        <w:gridCol w:w="1346"/>
        <w:gridCol w:w="1346"/>
        <w:gridCol w:w="1096"/>
        <w:gridCol w:w="1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CH4</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CmHn</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H2</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CO</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N2</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O2</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Qnet,v,ar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(kJ/Nm3)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 w:type="dxa"/>
            <w:bottom w:w="0" w:type="dxa"/>
            <w:right w:w="10" w:type="dxa"/>
          </w:tblCellMar>
        </w:tblPrEx>
        <w:trPr>
          <w:trHeight w:val="499" w:hRule="atLeast"/>
        </w:trPr>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96.83</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0.908</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0.105</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0.1</w:t>
            </w:r>
          </w:p>
        </w:tc>
        <w:tc>
          <w:tcPr>
            <w:tcW w:w="134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ind w:firstLine="480" w:firstLineChars="200"/>
              <w:jc w:val="center"/>
              <w:rPr>
                <w:rFonts w:hint="default" w:ascii="宋体" w:hAnsi="宋体"/>
                <w:sz w:val="24"/>
                <w:szCs w:val="24"/>
              </w:rPr>
            </w:pPr>
            <w:r>
              <w:rPr>
                <w:rFonts w:hint="default" w:ascii="宋体" w:hAnsi="宋体"/>
                <w:sz w:val="24"/>
                <w:szCs w:val="24"/>
                <w:lang w:val="en-US" w:eastAsia="zh-CN"/>
              </w:rPr>
              <w:t>1.85</w:t>
            </w:r>
          </w:p>
        </w:tc>
        <w:tc>
          <w:tcPr>
            <w:tcW w:w="109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0</w:t>
            </w:r>
          </w:p>
        </w:tc>
        <w:tc>
          <w:tcPr>
            <w:tcW w:w="1721"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pageBreakBefore w:val="0"/>
              <w:wordWrap/>
              <w:overflowPunct/>
              <w:topLinePunct w:val="0"/>
              <w:autoSpaceDE/>
              <w:autoSpaceDN/>
              <w:bidi w:val="0"/>
              <w:adjustRightInd/>
              <w:spacing w:line="440" w:lineRule="exact"/>
              <w:jc w:val="center"/>
              <w:rPr>
                <w:rFonts w:hint="default" w:ascii="宋体" w:hAnsi="宋体"/>
                <w:sz w:val="24"/>
                <w:szCs w:val="24"/>
              </w:rPr>
            </w:pPr>
            <w:r>
              <w:rPr>
                <w:rFonts w:hint="default" w:ascii="宋体" w:hAnsi="宋体"/>
                <w:sz w:val="24"/>
                <w:szCs w:val="24"/>
                <w:lang w:val="en-US" w:eastAsia="zh-CN"/>
              </w:rPr>
              <w:t>35438</w:t>
            </w:r>
          </w:p>
        </w:tc>
      </w:tr>
    </w:tbl>
    <w:p>
      <w:pPr>
        <w:pStyle w:val="5"/>
        <w:bidi w:val="0"/>
        <w:rPr>
          <w:rFonts w:hint="eastAsia"/>
        </w:rPr>
      </w:pPr>
      <w:bookmarkStart w:id="28" w:name="_Toc2051"/>
      <w:bookmarkStart w:id="29" w:name="_5、自动控制安全保护"/>
      <w:r>
        <w:rPr>
          <w:rFonts w:hint="eastAsia"/>
          <w:lang w:val="en-US" w:eastAsia="zh-CN"/>
        </w:rPr>
        <w:t>5、</w:t>
      </w:r>
      <w:r>
        <w:rPr>
          <w:rFonts w:hint="eastAsia"/>
        </w:rPr>
        <w:t>自动控制安全保护</w:t>
      </w:r>
      <w:bookmarkEnd w:id="28"/>
    </w:p>
    <w:bookmarkEnd w:id="29"/>
    <w:p>
      <w:pPr>
        <w:spacing w:line="360" w:lineRule="auto"/>
        <w:ind w:left="-283" w:leftChars="-135" w:firstLine="381" w:firstLineChars="159"/>
        <w:rPr>
          <w:rFonts w:hint="eastAsia" w:ascii="新宋体" w:hAnsi="新宋体" w:eastAsia="新宋体" w:cs="新宋体"/>
          <w:sz w:val="24"/>
          <w:szCs w:val="24"/>
        </w:rPr>
      </w:pPr>
      <w:r>
        <w:rPr>
          <w:rFonts w:hint="eastAsia" w:ascii="宋体" w:hAnsi="宋体"/>
          <w:sz w:val="24"/>
          <w:szCs w:val="24"/>
        </w:rPr>
        <w:t>该锅炉具有高、低水位报警和低水位连锁保护功能；采用</w:t>
      </w:r>
      <w:r>
        <w:rPr>
          <w:rFonts w:hint="eastAsia" w:ascii="新宋体" w:hAnsi="新宋体" w:eastAsia="新宋体" w:cs="新宋体"/>
          <w:sz w:val="24"/>
          <w:szCs w:val="24"/>
        </w:rPr>
        <w:t>技术性能良好的全自动燃烧器作为主要燃烧设备，该燃烧器的燃烧程序由较先进的燃烧程序控制器控制，能实现锅炉正常燃烧所必需的各种功能，能在正常状态、事故状态及非常情况下，自动实施保护性停炉，配以相应的水位控制器、压力调节器，实现高低水位指示，超压指示、调节，保证水位在正常范围内波动，蒸汽压力在允许压力波动范围内，在水位极低，超压时实现保护性停止指示。</w:t>
      </w:r>
    </w:p>
    <w:p>
      <w:pPr>
        <w:pStyle w:val="5"/>
        <w:bidi w:val="0"/>
        <w:rPr>
          <w:rFonts w:hint="eastAsia"/>
        </w:rPr>
      </w:pPr>
      <w:bookmarkStart w:id="30" w:name="_Toc7849"/>
      <w:bookmarkStart w:id="31" w:name="_6、自动保护装置"/>
      <w:r>
        <w:rPr>
          <w:rFonts w:hint="eastAsia"/>
          <w:lang w:val="en-US" w:eastAsia="zh-CN"/>
        </w:rPr>
        <w:t>6、</w:t>
      </w:r>
      <w:r>
        <w:rPr>
          <w:rFonts w:hint="eastAsia"/>
        </w:rPr>
        <w:t>自动保护装置</w:t>
      </w:r>
      <w:bookmarkEnd w:id="30"/>
    </w:p>
    <w:bookmarkEnd w:id="3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32" w:name="_Toc14886"/>
      <w:bookmarkStart w:id="33" w:name="_7、主要设计依据"/>
      <w:r>
        <w:rPr>
          <w:rFonts w:hint="eastAsia"/>
          <w:lang w:val="en-US" w:eastAsia="zh-CN"/>
        </w:rPr>
        <w:t>7</w:t>
      </w:r>
      <w:r>
        <w:rPr>
          <w:rFonts w:hint="eastAsia"/>
        </w:rPr>
        <w:t>、主要设计依据</w:t>
      </w:r>
      <w:bookmarkEnd w:id="32"/>
    </w:p>
    <w:bookmarkEnd w:id="3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34" w:name="_Toc16382"/>
      <w:bookmarkStart w:id="35" w:name="_Toc1742"/>
      <w:bookmarkStart w:id="36" w:name="_六、客户来访"/>
      <w:r>
        <w:rPr>
          <w:rFonts w:hint="eastAsia" w:ascii="黑体" w:hAnsi="黑体" w:eastAsia="黑体" w:cs="黑体"/>
          <w:lang w:val="en-US" w:eastAsia="zh-CN"/>
        </w:rPr>
        <w:t>六、客户来访</w:t>
      </w:r>
      <w:bookmarkEnd w:id="34"/>
      <w:bookmarkEnd w:id="35"/>
    </w:p>
    <w:bookmarkEnd w:id="36"/>
    <w:p>
      <w:pPr>
        <w:pStyle w:val="4"/>
        <w:bidi w:val="0"/>
        <w:rPr>
          <w:rFonts w:hint="eastAsia" w:ascii="黑体" w:hAnsi="黑体" w:eastAsia="黑体" w:cs="黑体"/>
        </w:rPr>
      </w:pPr>
      <w:bookmarkStart w:id="37" w:name="_Toc19245"/>
      <w:bookmarkStart w:id="38" w:name="_Toc24433"/>
      <w:bookmarkStart w:id="39" w:name="_七、设备支持"/>
      <w:r>
        <w:rPr>
          <w:rFonts w:hint="eastAsia" w:ascii="黑体" w:hAnsi="黑体" w:eastAsia="黑体" w:cs="黑体"/>
        </w:rPr>
        <w:t>七、设备支持</w:t>
      </w:r>
      <w:bookmarkEnd w:id="37"/>
      <w:bookmarkEnd w:id="38"/>
    </w:p>
    <w:bookmarkEnd w:id="3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40" w:name="_Toc10238"/>
      <w:bookmarkStart w:id="41" w:name="_Toc20335"/>
      <w:bookmarkStart w:id="42" w:name="_八、安全、质量保证措施"/>
      <w:r>
        <w:rPr>
          <w:rFonts w:hint="eastAsia" w:ascii="黑体" w:hAnsi="黑体" w:eastAsia="黑体" w:cs="黑体"/>
        </w:rPr>
        <w:t>八、安全、质量保证措施</w:t>
      </w:r>
      <w:bookmarkEnd w:id="40"/>
      <w:bookmarkEnd w:id="41"/>
    </w:p>
    <w:bookmarkEnd w:id="42"/>
    <w:p>
      <w:pPr>
        <w:pStyle w:val="5"/>
        <w:bidi w:val="0"/>
      </w:pPr>
      <w:bookmarkStart w:id="43" w:name="_Toc19102"/>
      <w:bookmarkStart w:id="44" w:name="_Toc22766"/>
      <w:bookmarkStart w:id="45" w:name="_1、安全保证措施"/>
      <w:r>
        <w:rPr>
          <w:rFonts w:hint="eastAsia"/>
        </w:rPr>
        <w:t>1、安全保证措施</w:t>
      </w:r>
      <w:bookmarkEnd w:id="43"/>
      <w:bookmarkEnd w:id="44"/>
    </w:p>
    <w:bookmarkEnd w:id="4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46" w:name="_Toc24681"/>
      <w:bookmarkStart w:id="47" w:name="_Toc5385"/>
      <w:bookmarkStart w:id="48" w:name="_2、质量保证措施"/>
      <w:r>
        <w:rPr>
          <w:rFonts w:hint="eastAsia"/>
        </w:rPr>
        <w:t>2、质量保证措施</w:t>
      </w:r>
      <w:bookmarkEnd w:id="46"/>
      <w:bookmarkEnd w:id="47"/>
    </w:p>
    <w:bookmarkEnd w:id="4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49" w:name="_Toc27077"/>
      <w:bookmarkStart w:id="50" w:name="_Toc27029"/>
      <w:bookmarkStart w:id="51" w:name="_九、售后服务承诺"/>
      <w:r>
        <w:rPr>
          <w:rFonts w:hint="eastAsia" w:ascii="黑体" w:hAnsi="黑体" w:eastAsia="黑体" w:cs="黑体"/>
        </w:rPr>
        <w:t>九、售后服务承诺</w:t>
      </w:r>
      <w:bookmarkEnd w:id="49"/>
      <w:bookmarkEnd w:id="50"/>
    </w:p>
    <w:bookmarkEnd w:id="51"/>
    <w:p>
      <w:pPr>
        <w:pStyle w:val="5"/>
        <w:bidi w:val="0"/>
      </w:pPr>
      <w:bookmarkStart w:id="52" w:name="_Toc25148"/>
      <w:bookmarkStart w:id="53" w:name="_Toc22905"/>
      <w:bookmarkStart w:id="54" w:name="_1、服务体系"/>
      <w:r>
        <w:rPr>
          <w:rFonts w:hint="eastAsia"/>
        </w:rPr>
        <w:t>1、服务体系</w:t>
      </w:r>
      <w:bookmarkEnd w:id="52"/>
      <w:bookmarkEnd w:id="53"/>
    </w:p>
    <w:bookmarkEnd w:id="5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55" w:name="_Toc26214"/>
      <w:bookmarkStart w:id="56" w:name="_Toc8038"/>
      <w:bookmarkStart w:id="57" w:name="_2、售前服务"/>
      <w:r>
        <w:rPr>
          <w:rFonts w:hint="eastAsia"/>
        </w:rPr>
        <w:t>2、售前服务</w:t>
      </w:r>
      <w:bookmarkEnd w:id="55"/>
      <w:bookmarkEnd w:id="56"/>
      <w:r>
        <w:rPr>
          <w:rFonts w:hint="eastAsia"/>
        </w:rPr>
        <w:t xml:space="preserve">  </w:t>
      </w:r>
    </w:p>
    <w:bookmarkEnd w:id="5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58" w:name="_Toc31300"/>
      <w:bookmarkStart w:id="59" w:name="_Toc1965"/>
      <w:bookmarkStart w:id="60" w:name="_3、售后服务"/>
      <w:r>
        <w:rPr>
          <w:rFonts w:hint="eastAsia"/>
        </w:rPr>
        <w:t>3、售后服务</w:t>
      </w:r>
      <w:bookmarkEnd w:id="58"/>
      <w:bookmarkEnd w:id="59"/>
    </w:p>
    <w:bookmarkEnd w:id="6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61" w:name="_Toc30005"/>
      <w:bookmarkStart w:id="62" w:name="_Toc23918"/>
      <w:bookmarkStart w:id="63" w:name="_4、规范化的服务标准"/>
      <w:r>
        <w:rPr>
          <w:rFonts w:hint="eastAsia"/>
        </w:rPr>
        <w:t>4、规范化的服务标准</w:t>
      </w:r>
      <w:bookmarkEnd w:id="61"/>
      <w:bookmarkEnd w:id="62"/>
    </w:p>
    <w:bookmarkEnd w:id="6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64" w:name="_Toc26737"/>
      <w:bookmarkStart w:id="65" w:name="_Toc11155"/>
      <w:bookmarkStart w:id="66" w:name="_5、星级服务1、2、3、4模式"/>
      <w:r>
        <w:rPr>
          <w:rFonts w:hint="eastAsia"/>
        </w:rPr>
        <w:t>5、星级服务1、2、3、4模式</w:t>
      </w:r>
      <w:bookmarkEnd w:id="64"/>
      <w:bookmarkEnd w:id="65"/>
    </w:p>
    <w:bookmarkEnd w:id="6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67" w:name="_Toc7786"/>
      <w:bookmarkStart w:id="68" w:name="_Toc3701"/>
      <w:bookmarkStart w:id="69" w:name="_6、技术服务与联络"/>
      <w:r>
        <w:rPr>
          <w:rFonts w:hint="eastAsia"/>
        </w:rPr>
        <w:t>6、技术服务与联络</w:t>
      </w:r>
      <w:bookmarkEnd w:id="67"/>
      <w:bookmarkEnd w:id="68"/>
    </w:p>
    <w:bookmarkEnd w:id="6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70" w:name="_Toc17331"/>
      <w:bookmarkStart w:id="71" w:name="_Toc8578"/>
      <w:bookmarkStart w:id="72" w:name="_7、组织保证"/>
      <w:r>
        <w:rPr>
          <w:rFonts w:hint="eastAsia"/>
        </w:rPr>
        <w:t>7、组织保证</w:t>
      </w:r>
      <w:bookmarkEnd w:id="70"/>
      <w:bookmarkEnd w:id="71"/>
    </w:p>
    <w:bookmarkEnd w:id="7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73" w:name="_Toc31432"/>
      <w:bookmarkStart w:id="74" w:name="_Toc27408"/>
      <w:bookmarkStart w:id="75" w:name="_十、厂区环境"/>
      <w:r>
        <w:rPr>
          <w:rFonts w:hint="eastAsia" w:ascii="黑体" w:hAnsi="黑体" w:eastAsia="黑体" w:cs="黑体"/>
        </w:rPr>
        <w:t>十、厂区环境</w:t>
      </w:r>
      <w:bookmarkEnd w:id="73"/>
      <w:bookmarkEnd w:id="74"/>
    </w:p>
    <w:bookmarkEnd w:id="7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76" w:name="_Toc9426"/>
      <w:bookmarkStart w:id="77" w:name="_Toc11023"/>
      <w:bookmarkStart w:id="78" w:name="_十一、公司寄语"/>
      <w:r>
        <w:rPr>
          <w:rFonts w:hint="eastAsia" w:ascii="黑体" w:hAnsi="黑体" w:eastAsia="黑体" w:cs="黑体"/>
          <w:lang w:val="en-US" w:eastAsia="zh-CN"/>
        </w:rPr>
        <w:t>十一、公司</w:t>
      </w:r>
      <w:bookmarkEnd w:id="76"/>
      <w:r>
        <w:rPr>
          <w:rFonts w:hint="eastAsia" w:ascii="黑体" w:hAnsi="黑体" w:eastAsia="黑体" w:cs="黑体"/>
          <w:lang w:val="en-US" w:eastAsia="zh-CN"/>
        </w:rPr>
        <w:t>寄语</w:t>
      </w:r>
      <w:bookmarkEnd w:id="77"/>
    </w:p>
    <w:bookmarkEnd w:id="7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5888"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7936"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 w:name="KSO_WPS_MARK_KEY" w:val="1f4462bb-3bb2-4f2a-ab3b-22e876a516d5"/>
  </w:docVars>
  <w:rsids>
    <w:rsidRoot w:val="314D7BFB"/>
    <w:rsid w:val="00036770"/>
    <w:rsid w:val="002D13BD"/>
    <w:rsid w:val="00B13186"/>
    <w:rsid w:val="00CF2E42"/>
    <w:rsid w:val="00D50E40"/>
    <w:rsid w:val="00D71FFE"/>
    <w:rsid w:val="015127EE"/>
    <w:rsid w:val="01A06E9D"/>
    <w:rsid w:val="01D34B7C"/>
    <w:rsid w:val="01FC1C86"/>
    <w:rsid w:val="02603449"/>
    <w:rsid w:val="028B5747"/>
    <w:rsid w:val="02AC20AB"/>
    <w:rsid w:val="02BE0A08"/>
    <w:rsid w:val="02EA149B"/>
    <w:rsid w:val="02F02142"/>
    <w:rsid w:val="03162EDD"/>
    <w:rsid w:val="03575F50"/>
    <w:rsid w:val="03C70AD5"/>
    <w:rsid w:val="03EF4C47"/>
    <w:rsid w:val="049C65CB"/>
    <w:rsid w:val="04BB2B23"/>
    <w:rsid w:val="04DF5F2E"/>
    <w:rsid w:val="05341DD6"/>
    <w:rsid w:val="05696E27"/>
    <w:rsid w:val="056B5832"/>
    <w:rsid w:val="05A0746B"/>
    <w:rsid w:val="05A53B6A"/>
    <w:rsid w:val="05E03D0C"/>
    <w:rsid w:val="05FE7BBD"/>
    <w:rsid w:val="06155D3C"/>
    <w:rsid w:val="0619373E"/>
    <w:rsid w:val="063021E4"/>
    <w:rsid w:val="06334530"/>
    <w:rsid w:val="0635691E"/>
    <w:rsid w:val="06635EA2"/>
    <w:rsid w:val="066B7AD6"/>
    <w:rsid w:val="067A5F0E"/>
    <w:rsid w:val="068426BF"/>
    <w:rsid w:val="06B15F12"/>
    <w:rsid w:val="06D522B7"/>
    <w:rsid w:val="070E7A21"/>
    <w:rsid w:val="07A47FD8"/>
    <w:rsid w:val="07BF667B"/>
    <w:rsid w:val="07C531B9"/>
    <w:rsid w:val="07F13FAE"/>
    <w:rsid w:val="08346591"/>
    <w:rsid w:val="08395955"/>
    <w:rsid w:val="08AB0AE0"/>
    <w:rsid w:val="08B9073E"/>
    <w:rsid w:val="08BE6F38"/>
    <w:rsid w:val="08C1596C"/>
    <w:rsid w:val="08EE274B"/>
    <w:rsid w:val="095A42B6"/>
    <w:rsid w:val="0962474B"/>
    <w:rsid w:val="096E2E44"/>
    <w:rsid w:val="098B3F8E"/>
    <w:rsid w:val="09DC01B4"/>
    <w:rsid w:val="0AD43E4B"/>
    <w:rsid w:val="0B7E3EC8"/>
    <w:rsid w:val="0BC65752"/>
    <w:rsid w:val="0BDE6F3F"/>
    <w:rsid w:val="0C1053BE"/>
    <w:rsid w:val="0C894D11"/>
    <w:rsid w:val="0D6D5FF2"/>
    <w:rsid w:val="0DDA5293"/>
    <w:rsid w:val="0DE70BA4"/>
    <w:rsid w:val="0E2B1997"/>
    <w:rsid w:val="0ED85EC5"/>
    <w:rsid w:val="0F836EE2"/>
    <w:rsid w:val="0FA51AAB"/>
    <w:rsid w:val="0FD91EF8"/>
    <w:rsid w:val="1023692B"/>
    <w:rsid w:val="1051013C"/>
    <w:rsid w:val="11245688"/>
    <w:rsid w:val="11A8771C"/>
    <w:rsid w:val="11B916BF"/>
    <w:rsid w:val="120C5D0C"/>
    <w:rsid w:val="12453CA9"/>
    <w:rsid w:val="125735A8"/>
    <w:rsid w:val="12B575DD"/>
    <w:rsid w:val="142E658A"/>
    <w:rsid w:val="146B6E96"/>
    <w:rsid w:val="15126972"/>
    <w:rsid w:val="15776508"/>
    <w:rsid w:val="15B548B1"/>
    <w:rsid w:val="16132CBA"/>
    <w:rsid w:val="169F3EDD"/>
    <w:rsid w:val="16C15291"/>
    <w:rsid w:val="16DA0303"/>
    <w:rsid w:val="17463BEB"/>
    <w:rsid w:val="176F6C9D"/>
    <w:rsid w:val="17A23E6D"/>
    <w:rsid w:val="1800023D"/>
    <w:rsid w:val="182F4CA9"/>
    <w:rsid w:val="18B75FE1"/>
    <w:rsid w:val="18C304F1"/>
    <w:rsid w:val="18FE29CF"/>
    <w:rsid w:val="194128BC"/>
    <w:rsid w:val="19AA0461"/>
    <w:rsid w:val="19BE5CBA"/>
    <w:rsid w:val="19C13A96"/>
    <w:rsid w:val="1A0538E9"/>
    <w:rsid w:val="1A465446"/>
    <w:rsid w:val="1A484CDB"/>
    <w:rsid w:val="1AA55149"/>
    <w:rsid w:val="1AB81AC0"/>
    <w:rsid w:val="1B010C3A"/>
    <w:rsid w:val="1B5D78DD"/>
    <w:rsid w:val="1BD366BC"/>
    <w:rsid w:val="1C757738"/>
    <w:rsid w:val="1C87150A"/>
    <w:rsid w:val="1CAA7140"/>
    <w:rsid w:val="1CEB1412"/>
    <w:rsid w:val="1D036806"/>
    <w:rsid w:val="1D373AAF"/>
    <w:rsid w:val="1D815CC7"/>
    <w:rsid w:val="1D8B1CDD"/>
    <w:rsid w:val="1DC66264"/>
    <w:rsid w:val="1E2052F9"/>
    <w:rsid w:val="1EC52FD3"/>
    <w:rsid w:val="1ECA499A"/>
    <w:rsid w:val="201C7BDE"/>
    <w:rsid w:val="20234E4B"/>
    <w:rsid w:val="202F346E"/>
    <w:rsid w:val="20BE2A81"/>
    <w:rsid w:val="20D14FB1"/>
    <w:rsid w:val="210027D1"/>
    <w:rsid w:val="211428BF"/>
    <w:rsid w:val="21857FA4"/>
    <w:rsid w:val="21A76AC9"/>
    <w:rsid w:val="220E29EB"/>
    <w:rsid w:val="22110E8E"/>
    <w:rsid w:val="228C5F60"/>
    <w:rsid w:val="22D77F8E"/>
    <w:rsid w:val="22FA0FEE"/>
    <w:rsid w:val="23353491"/>
    <w:rsid w:val="23851031"/>
    <w:rsid w:val="23A3664D"/>
    <w:rsid w:val="240B41F2"/>
    <w:rsid w:val="24E54A43"/>
    <w:rsid w:val="24FF3D57"/>
    <w:rsid w:val="251D5AD1"/>
    <w:rsid w:val="25826736"/>
    <w:rsid w:val="258D56D9"/>
    <w:rsid w:val="25C1100C"/>
    <w:rsid w:val="25ED2B06"/>
    <w:rsid w:val="25F0276F"/>
    <w:rsid w:val="2605432E"/>
    <w:rsid w:val="260B7449"/>
    <w:rsid w:val="26487037"/>
    <w:rsid w:val="26870C67"/>
    <w:rsid w:val="26E32CB2"/>
    <w:rsid w:val="271433BD"/>
    <w:rsid w:val="271A7E79"/>
    <w:rsid w:val="278F7A7D"/>
    <w:rsid w:val="27A720F5"/>
    <w:rsid w:val="27DE3507"/>
    <w:rsid w:val="2835035F"/>
    <w:rsid w:val="28445F24"/>
    <w:rsid w:val="285D7BBC"/>
    <w:rsid w:val="28722A91"/>
    <w:rsid w:val="29273C26"/>
    <w:rsid w:val="295C7C9C"/>
    <w:rsid w:val="298254EA"/>
    <w:rsid w:val="29CF713B"/>
    <w:rsid w:val="29D23193"/>
    <w:rsid w:val="2ACE1AD5"/>
    <w:rsid w:val="2AD510B6"/>
    <w:rsid w:val="2AE12DE3"/>
    <w:rsid w:val="2B555F04"/>
    <w:rsid w:val="2BA8157D"/>
    <w:rsid w:val="2BD870AF"/>
    <w:rsid w:val="2C3F1B7E"/>
    <w:rsid w:val="2C6B125B"/>
    <w:rsid w:val="2C7B3ADA"/>
    <w:rsid w:val="2CAF3E52"/>
    <w:rsid w:val="2CF0000D"/>
    <w:rsid w:val="2DE30510"/>
    <w:rsid w:val="2E073C7C"/>
    <w:rsid w:val="2E4A7271"/>
    <w:rsid w:val="2EFF324B"/>
    <w:rsid w:val="2F1877C3"/>
    <w:rsid w:val="2F1A353B"/>
    <w:rsid w:val="2F5C0536"/>
    <w:rsid w:val="2FD302BA"/>
    <w:rsid w:val="2FEA255A"/>
    <w:rsid w:val="307978A9"/>
    <w:rsid w:val="30CE712E"/>
    <w:rsid w:val="314D7BFB"/>
    <w:rsid w:val="316F4012"/>
    <w:rsid w:val="3203475A"/>
    <w:rsid w:val="329A2668"/>
    <w:rsid w:val="33660F1D"/>
    <w:rsid w:val="33DA419C"/>
    <w:rsid w:val="340018A9"/>
    <w:rsid w:val="344277BC"/>
    <w:rsid w:val="346A286F"/>
    <w:rsid w:val="34932FE8"/>
    <w:rsid w:val="34A007DF"/>
    <w:rsid w:val="35571045"/>
    <w:rsid w:val="35957DBF"/>
    <w:rsid w:val="35A91A40"/>
    <w:rsid w:val="35AF0E81"/>
    <w:rsid w:val="36070CBD"/>
    <w:rsid w:val="36513CE6"/>
    <w:rsid w:val="365E1ABA"/>
    <w:rsid w:val="3699743B"/>
    <w:rsid w:val="36BF30AF"/>
    <w:rsid w:val="36C95F72"/>
    <w:rsid w:val="375A12C0"/>
    <w:rsid w:val="37F34565"/>
    <w:rsid w:val="38303DCF"/>
    <w:rsid w:val="388F7E08"/>
    <w:rsid w:val="389A4589"/>
    <w:rsid w:val="389D0E27"/>
    <w:rsid w:val="390E6D05"/>
    <w:rsid w:val="392733AE"/>
    <w:rsid w:val="39353D74"/>
    <w:rsid w:val="39E84962"/>
    <w:rsid w:val="3A0D261A"/>
    <w:rsid w:val="3A43559A"/>
    <w:rsid w:val="3A7206CF"/>
    <w:rsid w:val="3A836B3C"/>
    <w:rsid w:val="3A8F74D3"/>
    <w:rsid w:val="3A9457C2"/>
    <w:rsid w:val="3AB26081"/>
    <w:rsid w:val="3ABB2076"/>
    <w:rsid w:val="3AD4138A"/>
    <w:rsid w:val="3B985F13"/>
    <w:rsid w:val="3BE249DC"/>
    <w:rsid w:val="3C462230"/>
    <w:rsid w:val="3C571489"/>
    <w:rsid w:val="3C8353AD"/>
    <w:rsid w:val="3CB1295C"/>
    <w:rsid w:val="3CCD6091"/>
    <w:rsid w:val="3D4A76E1"/>
    <w:rsid w:val="3D72084C"/>
    <w:rsid w:val="3D74499B"/>
    <w:rsid w:val="3D81429A"/>
    <w:rsid w:val="3DA43295"/>
    <w:rsid w:val="3DD57CCC"/>
    <w:rsid w:val="3E1B38D6"/>
    <w:rsid w:val="3E2661F2"/>
    <w:rsid w:val="3E9C5D1B"/>
    <w:rsid w:val="3EB76FF8"/>
    <w:rsid w:val="3F281BB1"/>
    <w:rsid w:val="3F6F02F3"/>
    <w:rsid w:val="3FC27987"/>
    <w:rsid w:val="40646D0C"/>
    <w:rsid w:val="417C4D58"/>
    <w:rsid w:val="418C4F2A"/>
    <w:rsid w:val="41A2189A"/>
    <w:rsid w:val="41B31F30"/>
    <w:rsid w:val="42257078"/>
    <w:rsid w:val="428856B7"/>
    <w:rsid w:val="42D979A6"/>
    <w:rsid w:val="43077C5C"/>
    <w:rsid w:val="43572219"/>
    <w:rsid w:val="43E8647D"/>
    <w:rsid w:val="44091CF5"/>
    <w:rsid w:val="447357CF"/>
    <w:rsid w:val="45243134"/>
    <w:rsid w:val="4541177A"/>
    <w:rsid w:val="45B918A8"/>
    <w:rsid w:val="460D6277"/>
    <w:rsid w:val="464E0242"/>
    <w:rsid w:val="47095F17"/>
    <w:rsid w:val="47C85DD2"/>
    <w:rsid w:val="47CC58C3"/>
    <w:rsid w:val="47D96A2F"/>
    <w:rsid w:val="48537D92"/>
    <w:rsid w:val="48993E7C"/>
    <w:rsid w:val="49044BE8"/>
    <w:rsid w:val="49A1484E"/>
    <w:rsid w:val="4A253048"/>
    <w:rsid w:val="4A865B7B"/>
    <w:rsid w:val="4AA422F4"/>
    <w:rsid w:val="4AEE5B50"/>
    <w:rsid w:val="4BAF1783"/>
    <w:rsid w:val="4C6939FC"/>
    <w:rsid w:val="4C9F4305"/>
    <w:rsid w:val="4CD80866"/>
    <w:rsid w:val="4D2F2CB6"/>
    <w:rsid w:val="4D93478D"/>
    <w:rsid w:val="4DA95138"/>
    <w:rsid w:val="4E8652E5"/>
    <w:rsid w:val="4E981B13"/>
    <w:rsid w:val="4E9F3BEC"/>
    <w:rsid w:val="4EB86190"/>
    <w:rsid w:val="4EBB4203"/>
    <w:rsid w:val="4EEA01E2"/>
    <w:rsid w:val="4F275AD4"/>
    <w:rsid w:val="4F46222B"/>
    <w:rsid w:val="5012408F"/>
    <w:rsid w:val="502D636D"/>
    <w:rsid w:val="504A49A8"/>
    <w:rsid w:val="50746AF7"/>
    <w:rsid w:val="50F4630B"/>
    <w:rsid w:val="513F7105"/>
    <w:rsid w:val="51655B3D"/>
    <w:rsid w:val="519D50A4"/>
    <w:rsid w:val="520E5057"/>
    <w:rsid w:val="526130AB"/>
    <w:rsid w:val="527728CF"/>
    <w:rsid w:val="529963E6"/>
    <w:rsid w:val="53A718DD"/>
    <w:rsid w:val="5406215C"/>
    <w:rsid w:val="546E3324"/>
    <w:rsid w:val="549A28A4"/>
    <w:rsid w:val="554051FA"/>
    <w:rsid w:val="55B00902"/>
    <w:rsid w:val="55D07486"/>
    <w:rsid w:val="560A1D98"/>
    <w:rsid w:val="56424959"/>
    <w:rsid w:val="576D624C"/>
    <w:rsid w:val="580C1D0B"/>
    <w:rsid w:val="588C69A8"/>
    <w:rsid w:val="58C20383"/>
    <w:rsid w:val="58EF652E"/>
    <w:rsid w:val="59811D27"/>
    <w:rsid w:val="59851D75"/>
    <w:rsid w:val="59926240"/>
    <w:rsid w:val="5A094FC5"/>
    <w:rsid w:val="5B656BC2"/>
    <w:rsid w:val="5BA447C4"/>
    <w:rsid w:val="5BC8172D"/>
    <w:rsid w:val="5BCE3269"/>
    <w:rsid w:val="5C6953F1"/>
    <w:rsid w:val="5CAC586B"/>
    <w:rsid w:val="5D6A375C"/>
    <w:rsid w:val="5DA86032"/>
    <w:rsid w:val="5DD24E5D"/>
    <w:rsid w:val="5E6259D5"/>
    <w:rsid w:val="5F1E4355"/>
    <w:rsid w:val="5F4140C4"/>
    <w:rsid w:val="5F491581"/>
    <w:rsid w:val="60082DB8"/>
    <w:rsid w:val="602D0A9E"/>
    <w:rsid w:val="60F81E86"/>
    <w:rsid w:val="615838F7"/>
    <w:rsid w:val="6165315A"/>
    <w:rsid w:val="61871447"/>
    <w:rsid w:val="61B85B3A"/>
    <w:rsid w:val="62076EE2"/>
    <w:rsid w:val="62683FE2"/>
    <w:rsid w:val="62737C80"/>
    <w:rsid w:val="6299019D"/>
    <w:rsid w:val="62D505F8"/>
    <w:rsid w:val="636A174F"/>
    <w:rsid w:val="638E0C61"/>
    <w:rsid w:val="639915EF"/>
    <w:rsid w:val="64104931"/>
    <w:rsid w:val="641D24F2"/>
    <w:rsid w:val="643B2AF7"/>
    <w:rsid w:val="6511270F"/>
    <w:rsid w:val="65314D46"/>
    <w:rsid w:val="658B0713"/>
    <w:rsid w:val="65C240C8"/>
    <w:rsid w:val="660E2153"/>
    <w:rsid w:val="66D4519B"/>
    <w:rsid w:val="66D9725C"/>
    <w:rsid w:val="677A1D57"/>
    <w:rsid w:val="678278F4"/>
    <w:rsid w:val="678D7D4A"/>
    <w:rsid w:val="6804655B"/>
    <w:rsid w:val="683E2DF3"/>
    <w:rsid w:val="68490412"/>
    <w:rsid w:val="68D07B84"/>
    <w:rsid w:val="68F93BE6"/>
    <w:rsid w:val="69024B11"/>
    <w:rsid w:val="69073F53"/>
    <w:rsid w:val="69A426F3"/>
    <w:rsid w:val="6AC371A0"/>
    <w:rsid w:val="6AFB3CEC"/>
    <w:rsid w:val="6AFE7291"/>
    <w:rsid w:val="6BC32FC3"/>
    <w:rsid w:val="6BFD579B"/>
    <w:rsid w:val="6C2B5723"/>
    <w:rsid w:val="6C445178"/>
    <w:rsid w:val="6C7A503E"/>
    <w:rsid w:val="6C991968"/>
    <w:rsid w:val="6CDA6A4D"/>
    <w:rsid w:val="6CDC7AA6"/>
    <w:rsid w:val="6CE1330F"/>
    <w:rsid w:val="6D0668D1"/>
    <w:rsid w:val="6DFB5D0A"/>
    <w:rsid w:val="6E2A44E4"/>
    <w:rsid w:val="6E3C32A1"/>
    <w:rsid w:val="6E4771A1"/>
    <w:rsid w:val="6E492F1A"/>
    <w:rsid w:val="6EA575EC"/>
    <w:rsid w:val="6EA63EC8"/>
    <w:rsid w:val="6EB50234"/>
    <w:rsid w:val="6EF8049C"/>
    <w:rsid w:val="6F780FE6"/>
    <w:rsid w:val="6FA40F23"/>
    <w:rsid w:val="6FB10D76"/>
    <w:rsid w:val="6FC16882"/>
    <w:rsid w:val="6FF712B4"/>
    <w:rsid w:val="709E229C"/>
    <w:rsid w:val="70A742FB"/>
    <w:rsid w:val="70E1568B"/>
    <w:rsid w:val="71864D87"/>
    <w:rsid w:val="7199181E"/>
    <w:rsid w:val="71B24BD6"/>
    <w:rsid w:val="71C869D7"/>
    <w:rsid w:val="71F9687A"/>
    <w:rsid w:val="72363DD1"/>
    <w:rsid w:val="72DE3255"/>
    <w:rsid w:val="72E36E6C"/>
    <w:rsid w:val="73154050"/>
    <w:rsid w:val="73637E23"/>
    <w:rsid w:val="73D4764E"/>
    <w:rsid w:val="7440146B"/>
    <w:rsid w:val="74614EB7"/>
    <w:rsid w:val="76545BF3"/>
    <w:rsid w:val="765A0DE3"/>
    <w:rsid w:val="766A7ED1"/>
    <w:rsid w:val="769B452E"/>
    <w:rsid w:val="772067E2"/>
    <w:rsid w:val="77F51A1C"/>
    <w:rsid w:val="781A67A6"/>
    <w:rsid w:val="785422B4"/>
    <w:rsid w:val="78B3729F"/>
    <w:rsid w:val="78DE0702"/>
    <w:rsid w:val="79744524"/>
    <w:rsid w:val="797B41A3"/>
    <w:rsid w:val="79927E6B"/>
    <w:rsid w:val="79A22173"/>
    <w:rsid w:val="79D0629D"/>
    <w:rsid w:val="7A1A1292"/>
    <w:rsid w:val="7A434CC1"/>
    <w:rsid w:val="7A460876"/>
    <w:rsid w:val="7A475776"/>
    <w:rsid w:val="7AB12572"/>
    <w:rsid w:val="7AE53DC4"/>
    <w:rsid w:val="7CDD764F"/>
    <w:rsid w:val="7CE21BD1"/>
    <w:rsid w:val="7CF8248D"/>
    <w:rsid w:val="7D1961AD"/>
    <w:rsid w:val="7D224F9C"/>
    <w:rsid w:val="7D3042CA"/>
    <w:rsid w:val="7D836F3D"/>
    <w:rsid w:val="7DA87AED"/>
    <w:rsid w:val="7DB06B11"/>
    <w:rsid w:val="7E0331EF"/>
    <w:rsid w:val="7E0D3F64"/>
    <w:rsid w:val="7E1D251F"/>
    <w:rsid w:val="7E9910C5"/>
    <w:rsid w:val="7EC1231F"/>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5396</Words>
  <Characters>6298</Characters>
  <Lines>1</Lines>
  <Paragraphs>1</Paragraphs>
  <TotalTime>0</TotalTime>
  <ScaleCrop>false</ScaleCrop>
  <LinksUpToDate>false</LinksUpToDate>
  <CharactersWithSpaces>6458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2024-05-21T09:33:02Z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F3A3B3F73F354278ADE36CAD4151F57E_13</vt:lpwstr>
  </property>
</Properties>
</file>